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0904F8">
      <w:pPr>
        <w:spacing w:line="240" w:lineRule="atLeast"/>
        <w:ind w:firstLine="960"/>
        <w:jc w:val="center"/>
        <w:rPr>
          <w:rFonts w:ascii="方正小标宋简体" w:hAnsi="黑体" w:eastAsia="方正小标宋简体" w:cs="黑体"/>
          <w:bCs/>
          <w:color w:val="auto"/>
          <w:sz w:val="48"/>
          <w:szCs w:val="48"/>
        </w:rPr>
      </w:pPr>
      <w:bookmarkStart w:id="18" w:name="_GoBack"/>
    </w:p>
    <w:p w14:paraId="195DFB89">
      <w:pPr>
        <w:spacing w:line="240" w:lineRule="atLeast"/>
        <w:ind w:firstLine="960"/>
        <w:jc w:val="center"/>
        <w:rPr>
          <w:rFonts w:ascii="方正小标宋简体" w:hAnsi="黑体" w:eastAsia="方正小标宋简体" w:cs="黑体"/>
          <w:bCs/>
          <w:color w:val="auto"/>
          <w:sz w:val="48"/>
          <w:szCs w:val="48"/>
        </w:rPr>
      </w:pPr>
    </w:p>
    <w:p w14:paraId="67652774">
      <w:pPr>
        <w:spacing w:line="240" w:lineRule="atLeast"/>
        <w:ind w:firstLine="960"/>
        <w:jc w:val="center"/>
        <w:rPr>
          <w:rFonts w:ascii="方正小标宋简体" w:hAnsi="黑体" w:eastAsia="方正小标宋简体" w:cs="黑体"/>
          <w:bCs/>
          <w:color w:val="auto"/>
          <w:sz w:val="48"/>
          <w:szCs w:val="48"/>
        </w:rPr>
      </w:pPr>
    </w:p>
    <w:p w14:paraId="49F7F5B5">
      <w:pPr>
        <w:spacing w:line="240" w:lineRule="atLeast"/>
        <w:ind w:firstLine="0" w:firstLineChars="0"/>
        <w:jc w:val="center"/>
        <w:rPr>
          <w:rFonts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lang w:val="en-US" w:eastAsia="zh-CN"/>
        </w:rPr>
        <w:t>沙湾市卫生健康委员会2023年积极应对人口老龄化工程和托育建设中央基建投资项</w:t>
      </w:r>
      <w:r>
        <w:rPr>
          <w:rFonts w:hint="eastAsia" w:ascii="方正小标宋简体" w:hAnsi="黑体" w:eastAsia="方正小标宋简体" w:cs="黑体"/>
          <w:bCs/>
          <w:color w:val="auto"/>
          <w:sz w:val="48"/>
          <w:szCs w:val="48"/>
          <w:highlight w:val="none"/>
        </w:rPr>
        <w:t>目支出绩效评价报告</w:t>
      </w:r>
    </w:p>
    <w:p w14:paraId="5AEACF7D">
      <w:pPr>
        <w:spacing w:line="240" w:lineRule="atLeast"/>
        <w:ind w:left="0" w:leftChars="0" w:firstLine="0" w:firstLineChars="0"/>
        <w:jc w:val="both"/>
        <w:rPr>
          <w:rFonts w:ascii="方正小标宋简体" w:hAnsi="黑体" w:eastAsia="方正小标宋简体" w:cs="黑体"/>
          <w:bCs/>
          <w:color w:val="auto"/>
          <w:sz w:val="48"/>
          <w:szCs w:val="48"/>
          <w:highlight w:val="none"/>
        </w:rPr>
      </w:pPr>
    </w:p>
    <w:p w14:paraId="5498FBCE">
      <w:pPr>
        <w:spacing w:line="240" w:lineRule="atLeast"/>
        <w:ind w:firstLine="960"/>
        <w:jc w:val="center"/>
        <w:rPr>
          <w:rFonts w:ascii="方正小标宋简体" w:hAnsi="黑体" w:eastAsia="方正小标宋简体" w:cs="黑体"/>
          <w:bCs/>
          <w:color w:val="auto"/>
          <w:sz w:val="48"/>
          <w:szCs w:val="48"/>
          <w:highlight w:val="none"/>
        </w:rPr>
      </w:pPr>
    </w:p>
    <w:p w14:paraId="6FB8CAB1">
      <w:pPr>
        <w:pStyle w:val="5"/>
        <w:rPr>
          <w:rFonts w:ascii="方正小标宋简体" w:hAnsi="黑体" w:eastAsia="方正小标宋简体" w:cs="黑体"/>
          <w:bCs/>
          <w:color w:val="auto"/>
          <w:sz w:val="48"/>
          <w:szCs w:val="48"/>
          <w:highlight w:val="none"/>
        </w:rPr>
      </w:pPr>
    </w:p>
    <w:p w14:paraId="6FA4C387">
      <w:pPr>
        <w:rPr>
          <w:color w:val="auto"/>
          <w:highlight w:val="none"/>
        </w:rPr>
      </w:pPr>
    </w:p>
    <w:p w14:paraId="4AA3F3FE">
      <w:pPr>
        <w:ind w:left="1198" w:leftChars="428" w:firstLine="0" w:firstLineChars="0"/>
        <w:rPr>
          <w:rFonts w:hint="eastAsia" w:ascii="黑体" w:hAnsi="黑体" w:eastAsia="黑体" w:cs="仿宋_GB2312"/>
          <w:color w:val="auto"/>
          <w:sz w:val="30"/>
          <w:szCs w:val="30"/>
          <w:highlight w:val="none"/>
          <w:lang w:val="en-US" w:eastAsia="zh-CN"/>
        </w:rPr>
      </w:pPr>
      <w:r>
        <w:rPr>
          <w:rFonts w:ascii="黑体" w:hAnsi="黑体" w:eastAsia="黑体" w:cs="宋体"/>
          <w:color w:val="auto"/>
          <w:sz w:val="30"/>
          <w:szCs w:val="30"/>
          <w:highlight w:val="none"/>
        </w:rPr>
        <w:t>项目名称：</w:t>
      </w:r>
      <w:r>
        <w:rPr>
          <w:rFonts w:hint="eastAsia" w:ascii="黑体" w:hAnsi="黑体" w:eastAsia="黑体" w:cs="仿宋_GB2312"/>
          <w:color w:val="auto"/>
          <w:sz w:val="30"/>
          <w:szCs w:val="30"/>
          <w:highlight w:val="none"/>
          <w:lang w:val="en-US" w:eastAsia="zh-CN"/>
        </w:rPr>
        <w:t>2023年积极应对人口老龄化工程和托育建设中央基建投资项目</w:t>
      </w:r>
    </w:p>
    <w:p w14:paraId="4CD38E7A">
      <w:pPr>
        <w:ind w:firstLine="1200" w:firstLineChars="400"/>
        <w:rPr>
          <w:rFonts w:hint="eastAsia" w:ascii="黑体" w:hAnsi="黑体" w:eastAsia="黑体" w:cs="仿宋_GB2312"/>
          <w:color w:val="auto"/>
          <w:sz w:val="30"/>
          <w:szCs w:val="30"/>
          <w:highlight w:val="none"/>
          <w:lang w:val="en-US" w:eastAsia="zh-CN"/>
        </w:rPr>
      </w:pPr>
      <w:r>
        <w:rPr>
          <w:rFonts w:ascii="黑体" w:hAnsi="黑体" w:eastAsia="黑体" w:cs="宋体"/>
          <w:color w:val="auto"/>
          <w:sz w:val="30"/>
          <w:szCs w:val="30"/>
          <w:highlight w:val="none"/>
        </w:rPr>
        <w:t>项目单位：</w:t>
      </w:r>
      <w:r>
        <w:rPr>
          <w:rFonts w:hint="eastAsia" w:ascii="黑体" w:hAnsi="黑体" w:eastAsia="黑体" w:cs="仿宋_GB2312"/>
          <w:color w:val="auto"/>
          <w:sz w:val="30"/>
          <w:szCs w:val="30"/>
          <w:highlight w:val="none"/>
          <w:lang w:val="en-US" w:eastAsia="zh-CN"/>
        </w:rPr>
        <w:t>沙湾市卫生健康委员会</w:t>
      </w:r>
    </w:p>
    <w:p w14:paraId="26D5AE41">
      <w:pPr>
        <w:ind w:firstLine="1200" w:firstLineChars="400"/>
        <w:rPr>
          <w:rFonts w:ascii="黑体" w:hAnsi="黑体" w:eastAsia="黑体" w:cs="宋体"/>
          <w:color w:val="auto"/>
          <w:sz w:val="30"/>
          <w:szCs w:val="30"/>
          <w:highlight w:val="none"/>
        </w:rPr>
      </w:pPr>
      <w:r>
        <w:rPr>
          <w:rFonts w:ascii="黑体" w:hAnsi="黑体" w:eastAsia="黑体" w:cs="宋体"/>
          <w:color w:val="auto"/>
          <w:sz w:val="30"/>
          <w:szCs w:val="30"/>
          <w:highlight w:val="none"/>
        </w:rPr>
        <w:t>主管部门：</w:t>
      </w:r>
      <w:r>
        <w:rPr>
          <w:rFonts w:hint="eastAsia" w:ascii="黑体" w:hAnsi="黑体" w:eastAsia="黑体" w:cs="仿宋_GB2312"/>
          <w:color w:val="auto"/>
          <w:sz w:val="30"/>
          <w:szCs w:val="30"/>
          <w:highlight w:val="none"/>
          <w:lang w:val="en-US" w:eastAsia="zh-CN"/>
        </w:rPr>
        <w:t>沙湾市卫生健康委员会</w:t>
      </w:r>
    </w:p>
    <w:p w14:paraId="64B65BE7">
      <w:pPr>
        <w:ind w:firstLine="1200" w:firstLineChars="400"/>
        <w:rPr>
          <w:rFonts w:hint="eastAsia" w:ascii="黑体" w:hAnsi="黑体" w:eastAsia="黑体" w:cs="宋体"/>
          <w:color w:val="auto"/>
          <w:sz w:val="30"/>
          <w:szCs w:val="30"/>
          <w:highlight w:val="none"/>
          <w:lang w:eastAsia="zh-CN"/>
        </w:rPr>
      </w:pPr>
      <w:r>
        <w:rPr>
          <w:rFonts w:hint="eastAsia" w:ascii="黑体" w:hAnsi="黑体" w:eastAsia="黑体" w:cs="宋体"/>
          <w:color w:val="auto"/>
          <w:sz w:val="30"/>
          <w:szCs w:val="30"/>
          <w:highlight w:val="none"/>
        </w:rPr>
        <w:t>项目负责人</w:t>
      </w:r>
      <w:r>
        <w:rPr>
          <w:rFonts w:ascii="黑体" w:hAnsi="黑体" w:eastAsia="黑体" w:cs="宋体"/>
          <w:color w:val="auto"/>
          <w:sz w:val="30"/>
          <w:szCs w:val="30"/>
          <w:highlight w:val="none"/>
        </w:rPr>
        <w:t>：</w:t>
      </w:r>
      <w:r>
        <w:rPr>
          <w:rFonts w:hint="eastAsia" w:ascii="黑体" w:hAnsi="黑体" w:eastAsia="黑体" w:cs="仿宋_GB2312"/>
          <w:color w:val="auto"/>
          <w:sz w:val="30"/>
          <w:szCs w:val="30"/>
          <w:highlight w:val="none"/>
          <w:lang w:val="en-US" w:eastAsia="zh-CN"/>
        </w:rPr>
        <w:t>蒋涛</w:t>
      </w:r>
    </w:p>
    <w:p w14:paraId="53F7BC3A">
      <w:pPr>
        <w:ind w:firstLine="1200" w:firstLineChars="400"/>
        <w:rPr>
          <w:rFonts w:hint="eastAsia"/>
          <w:color w:val="auto"/>
          <w:highlight w:val="none"/>
          <w:lang w:val="en-US" w:eastAsia="zh-CN"/>
        </w:rPr>
      </w:pPr>
      <w:r>
        <w:rPr>
          <w:rFonts w:hint="eastAsia" w:ascii="黑体" w:hAnsi="黑体" w:eastAsia="黑体" w:cs="宋体"/>
          <w:color w:val="auto"/>
          <w:sz w:val="30"/>
          <w:szCs w:val="30"/>
          <w:highlight w:val="none"/>
        </w:rPr>
        <w:t>填报时间：</w:t>
      </w:r>
      <w:r>
        <w:rPr>
          <w:rFonts w:ascii="黑体" w:hAnsi="黑体" w:eastAsia="黑体" w:cs="宋体"/>
          <w:color w:val="auto"/>
          <w:sz w:val="30"/>
          <w:szCs w:val="30"/>
          <w:highlight w:val="none"/>
        </w:rPr>
        <w:t>202</w:t>
      </w:r>
      <w:r>
        <w:rPr>
          <w:rFonts w:hint="eastAsia" w:ascii="黑体" w:hAnsi="黑体" w:eastAsia="黑体" w:cs="宋体"/>
          <w:color w:val="auto"/>
          <w:sz w:val="30"/>
          <w:szCs w:val="30"/>
          <w:highlight w:val="none"/>
          <w:lang w:val="en-US" w:eastAsia="zh-CN"/>
        </w:rPr>
        <w:t>4</w:t>
      </w:r>
      <w:r>
        <w:rPr>
          <w:rFonts w:hint="eastAsia" w:ascii="黑体" w:hAnsi="黑体" w:eastAsia="黑体" w:cs="宋体"/>
          <w:color w:val="auto"/>
          <w:sz w:val="30"/>
          <w:szCs w:val="30"/>
          <w:highlight w:val="none"/>
        </w:rPr>
        <w:t>年</w:t>
      </w:r>
      <w:r>
        <w:rPr>
          <w:rFonts w:hint="eastAsia" w:ascii="黑体" w:hAnsi="黑体" w:eastAsia="黑体" w:cs="仿宋_GB2312"/>
          <w:color w:val="auto"/>
          <w:sz w:val="30"/>
          <w:szCs w:val="30"/>
          <w:highlight w:val="none"/>
          <w:lang w:val="en-US" w:eastAsia="zh-CN"/>
        </w:rPr>
        <w:t>1</w:t>
      </w:r>
      <w:r>
        <w:rPr>
          <w:rFonts w:hint="eastAsia" w:ascii="黑体" w:hAnsi="黑体" w:eastAsia="黑体" w:cs="宋体"/>
          <w:color w:val="auto"/>
          <w:sz w:val="30"/>
          <w:szCs w:val="30"/>
          <w:highlight w:val="none"/>
        </w:rPr>
        <w:t>月</w:t>
      </w:r>
      <w:r>
        <w:rPr>
          <w:rFonts w:hint="eastAsia" w:ascii="黑体" w:hAnsi="黑体" w:eastAsia="黑体" w:cs="仿宋_GB2312"/>
          <w:color w:val="auto"/>
          <w:sz w:val="30"/>
          <w:szCs w:val="30"/>
          <w:highlight w:val="none"/>
          <w:lang w:val="en-US" w:eastAsia="zh-CN"/>
        </w:rPr>
        <w:t>25</w:t>
      </w:r>
      <w:r>
        <w:rPr>
          <w:rFonts w:hint="eastAsia" w:ascii="黑体" w:hAnsi="黑体" w:eastAsia="黑体" w:cs="仿宋_GB2312"/>
          <w:color w:val="auto"/>
          <w:sz w:val="30"/>
          <w:szCs w:val="30"/>
          <w:highlight w:val="none"/>
        </w:rPr>
        <w:t>日</w:t>
      </w:r>
    </w:p>
    <w:p w14:paraId="1D729F1D">
      <w:pPr>
        <w:spacing w:after="100" w:afterAutospacing="1" w:line="360" w:lineRule="auto"/>
        <w:ind w:firstLine="880"/>
        <w:jc w:val="center"/>
        <w:rPr>
          <w:rFonts w:hint="eastAsia" w:ascii="方正小标宋_GBK" w:hAnsi="黑体" w:eastAsia="方正小标宋_GBK" w:cs="黑体"/>
          <w:bCs/>
          <w:color w:val="auto"/>
          <w:sz w:val="44"/>
          <w:szCs w:val="44"/>
          <w:highlight w:val="none"/>
          <w:lang w:val="en-US" w:eastAsia="zh-CN"/>
        </w:rPr>
      </w:pPr>
    </w:p>
    <w:p w14:paraId="637DEF89">
      <w:pPr>
        <w:spacing w:after="100" w:afterAutospacing="1" w:line="360" w:lineRule="auto"/>
        <w:ind w:left="0" w:leftChars="0" w:firstLine="0" w:firstLineChars="0"/>
        <w:jc w:val="both"/>
        <w:rPr>
          <w:rFonts w:hint="eastAsia" w:ascii="方正小标宋_GBK" w:hAnsi="黑体" w:eastAsia="方正小标宋_GBK" w:cs="黑体"/>
          <w:bCs/>
          <w:color w:val="auto"/>
          <w:sz w:val="44"/>
          <w:szCs w:val="44"/>
          <w:highlight w:val="none"/>
          <w:lang w:val="en-US" w:eastAsia="zh-CN"/>
        </w:rPr>
      </w:pPr>
    </w:p>
    <w:p w14:paraId="09635DE0">
      <w:pPr>
        <w:pStyle w:val="3"/>
        <w:spacing w:line="600" w:lineRule="exact"/>
        <w:ind w:firstLine="640"/>
        <w:rPr>
          <w:color w:val="auto"/>
          <w:szCs w:val="32"/>
          <w:highlight w:val="none"/>
        </w:rPr>
      </w:pPr>
      <w:r>
        <w:rPr>
          <w:rFonts w:hint="eastAsia"/>
          <w:color w:val="auto"/>
          <w:szCs w:val="32"/>
          <w:highlight w:val="none"/>
        </w:rPr>
        <w:t>一、基本情况</w:t>
      </w:r>
    </w:p>
    <w:p w14:paraId="3BF2BA1D">
      <w:pPr>
        <w:pStyle w:val="4"/>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（一）项目概况</w:t>
      </w:r>
    </w:p>
    <w:p w14:paraId="11E96CF4">
      <w:pPr>
        <w:bidi w:val="0"/>
        <w:rPr>
          <w:b/>
          <w:bCs/>
          <w:color w:val="auto"/>
          <w:sz w:val="32"/>
          <w:szCs w:val="32"/>
          <w:highlight w:val="none"/>
        </w:rPr>
      </w:pPr>
      <w:r>
        <w:rPr>
          <w:rFonts w:hint="eastAsia"/>
          <w:b/>
          <w:bCs/>
          <w:color w:val="auto"/>
          <w:sz w:val="32"/>
          <w:szCs w:val="32"/>
          <w:highlight w:val="none"/>
        </w:rPr>
        <w:t>1.项目背景</w:t>
      </w:r>
    </w:p>
    <w:p w14:paraId="624D0283">
      <w:pPr>
        <w:bidi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根据新政办发〔</w:t>
      </w:r>
      <w:r>
        <w:rPr>
          <w:rFonts w:hint="eastAsia" w:ascii="仿宋_GB2312" w:hAnsi="仿宋_GB2312" w:eastAsia="仿宋_GB2312" w:cs="仿宋_GB2312"/>
          <w:color w:val="auto"/>
          <w:sz w:val="32"/>
          <w:szCs w:val="32"/>
          <w:lang w:val="en-US" w:eastAsia="zh-CN"/>
        </w:rPr>
        <w:t>2019</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104号文，</w:t>
      </w:r>
      <w:r>
        <w:rPr>
          <w:rFonts w:hint="eastAsia" w:ascii="仿宋_GB2312" w:hAnsi="仿宋_GB2312" w:eastAsia="仿宋_GB2312" w:cs="仿宋_GB2312"/>
          <w:color w:val="auto"/>
          <w:sz w:val="32"/>
          <w:szCs w:val="32"/>
          <w:lang w:eastAsia="zh-CN"/>
        </w:rPr>
        <w:t>《关于促进</w:t>
      </w:r>
      <w:r>
        <w:rPr>
          <w:rFonts w:hint="eastAsia" w:ascii="仿宋_GB2312" w:hAnsi="仿宋_GB2312" w:eastAsia="仿宋_GB2312" w:cs="仿宋_GB2312"/>
          <w:color w:val="auto"/>
          <w:sz w:val="32"/>
          <w:szCs w:val="32"/>
          <w:lang w:val="en-US" w:eastAsia="zh-CN"/>
        </w:rPr>
        <w:t>3岁以下婴幼儿照护服务发展的实施意见</w:t>
      </w:r>
      <w:r>
        <w:rPr>
          <w:rFonts w:hint="eastAsia" w:ascii="仿宋_GB2312" w:hAnsi="仿宋_GB2312" w:eastAsia="仿宋_GB2312" w:cs="仿宋_GB2312"/>
          <w:color w:val="auto"/>
          <w:sz w:val="32"/>
          <w:szCs w:val="32"/>
          <w:lang w:eastAsia="zh-CN"/>
        </w:rPr>
        <w:t>》文件指出“要求到</w:t>
      </w:r>
      <w:r>
        <w:rPr>
          <w:rFonts w:hint="eastAsia" w:ascii="仿宋_GB2312" w:hAnsi="仿宋_GB2312" w:eastAsia="仿宋_GB2312" w:cs="仿宋_GB2312"/>
          <w:color w:val="auto"/>
          <w:sz w:val="32"/>
          <w:szCs w:val="32"/>
          <w:lang w:val="en-US" w:eastAsia="zh-CN"/>
        </w:rPr>
        <w:t>2025年</w:t>
      </w:r>
      <w:r>
        <w:rPr>
          <w:rFonts w:hint="eastAsia" w:ascii="仿宋_GB2312" w:hAnsi="仿宋_GB2312" w:eastAsia="仿宋_GB2312" w:cs="仿宋_GB2312"/>
          <w:color w:val="auto"/>
          <w:sz w:val="32"/>
          <w:szCs w:val="32"/>
          <w:lang w:eastAsia="zh-CN"/>
        </w:rPr>
        <w:t>，婴幼儿照护服务的政策法规体系和标准规范体系基本健全，多元化、多样化、覆盖城乡的婴幼儿照护服务体系基本形成，每个县市至少有一所示范性婴幼儿照护服务机构，婴幼儿照护服务水平明显提升，人民群众的婴幼儿照护服务需求得到进一步满足。”沙湾市</w:t>
      </w:r>
      <w:r>
        <w:rPr>
          <w:rFonts w:hint="eastAsia" w:ascii="仿宋_GB2312" w:hAnsi="仿宋_GB2312" w:eastAsia="仿宋_GB2312" w:cs="仿宋_GB2312"/>
          <w:color w:val="auto"/>
          <w:sz w:val="32"/>
          <w:szCs w:val="32"/>
          <w:lang w:val="en-US" w:eastAsia="zh-CN"/>
        </w:rPr>
        <w:t>现有托育机构6个，其中公办2个，分别为塔城地区第一、第八托育中心；民营4个，分别为沙湾市益贝乐婴幼儿照护服务有限公司（坐落在沙湾市团结街道少年路社区）、沙湾市益贝乐婴幼儿照护服务有限公司第一分公司（坐落在沙湾市桃园街道林场路社区）、沙湾市萌卡纳托管中心（坐落在沙湾市智慧大道东路103号）、沙湾市勤思教育咨询有限公司（坐落在沙湾市书香街道沙城路社区）。</w:t>
      </w:r>
      <w:r>
        <w:rPr>
          <w:rFonts w:hint="eastAsia" w:ascii="仿宋_GB2312" w:hAnsi="仿宋_GB2312" w:eastAsia="仿宋_GB2312" w:cs="仿宋_GB2312"/>
          <w:color w:val="auto"/>
          <w:sz w:val="32"/>
          <w:szCs w:val="32"/>
          <w:lang w:eastAsia="zh-CN"/>
        </w:rPr>
        <w:t>沙湾市</w:t>
      </w:r>
      <w:r>
        <w:rPr>
          <w:rFonts w:hint="eastAsia" w:ascii="仿宋_GB2312" w:hAnsi="仿宋_GB2312" w:eastAsia="仿宋_GB2312" w:cs="仿宋_GB2312"/>
          <w:color w:val="auto"/>
          <w:sz w:val="32"/>
          <w:szCs w:val="32"/>
          <w:lang w:val="en-US" w:eastAsia="zh-CN"/>
        </w:rPr>
        <w:t>0-3岁婴幼儿人数为4098人，托位数550个，0-3岁已入托婴幼儿132人。</w:t>
      </w:r>
    </w:p>
    <w:p w14:paraId="201A99ED">
      <w:pPr>
        <w:bidi w:val="0"/>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Hans"/>
        </w:rPr>
        <w:t>项目</w:t>
      </w:r>
      <w:r>
        <w:rPr>
          <w:rFonts w:hint="eastAsia"/>
          <w:b/>
          <w:bCs/>
          <w:color w:val="auto"/>
          <w:sz w:val="32"/>
          <w:szCs w:val="32"/>
          <w:highlight w:val="none"/>
        </w:rPr>
        <w:t>主要内容及实施情况</w:t>
      </w:r>
    </w:p>
    <w:p w14:paraId="490D49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根据</w:t>
      </w:r>
      <w:r>
        <w:rPr>
          <w:rFonts w:hint="eastAsia" w:ascii="仿宋_GB2312" w:hAnsi="仿宋_GB2312" w:eastAsia="仿宋_GB2312" w:cs="仿宋_GB2312"/>
          <w:color w:val="auto"/>
          <w:sz w:val="32"/>
          <w:szCs w:val="32"/>
          <w:lang w:val="en-US" w:eastAsia="zh-CN"/>
        </w:rPr>
        <w:t>2023年9月27日</w:t>
      </w:r>
      <w:r>
        <w:rPr>
          <w:rFonts w:hint="eastAsia" w:ascii="仿宋_GB2312" w:hAnsi="仿宋_GB2312" w:eastAsia="仿宋_GB2312" w:cs="仿宋_GB2312"/>
          <w:color w:val="auto"/>
          <w:sz w:val="32"/>
          <w:szCs w:val="32"/>
        </w:rPr>
        <w:t>国卫办人口发〔2023〕14号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国家卫健委等部门印发《关于促进医疗卫生机构支持托育服务发展的指导意见》</w:t>
      </w:r>
      <w:r>
        <w:rPr>
          <w:rFonts w:hint="eastAsia" w:ascii="仿宋_GB2312" w:hAnsi="仿宋_GB2312" w:eastAsia="仿宋_GB2312" w:cs="仿宋_GB2312"/>
          <w:color w:val="auto"/>
          <w:sz w:val="32"/>
          <w:szCs w:val="32"/>
          <w:lang w:eastAsia="zh-CN"/>
        </w:rPr>
        <w:t>，卫健委主要职责为：</w:t>
      </w:r>
    </w:p>
    <w:p w14:paraId="38449A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）开展</w:t>
      </w:r>
      <w:r>
        <w:rPr>
          <w:rFonts w:hint="eastAsia" w:ascii="仿宋_GB2312" w:hAnsi="仿宋_GB2312" w:eastAsia="仿宋_GB2312" w:cs="仿宋_GB2312"/>
          <w:color w:val="auto"/>
          <w:sz w:val="32"/>
          <w:szCs w:val="32"/>
          <w:lang w:eastAsia="zh-CN"/>
        </w:rPr>
        <w:t>订单签约服务。</w:t>
      </w:r>
    </w:p>
    <w:p w14:paraId="6EE54A0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2" w:leftChars="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）加强儿童照护指导。</w:t>
      </w:r>
    </w:p>
    <w:p w14:paraId="24EF40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2" w:leftChars="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）落实疾病防控责任。</w:t>
      </w:r>
    </w:p>
    <w:p w14:paraId="3CF856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）健全相关支持政策。</w:t>
      </w:r>
    </w:p>
    <w:p w14:paraId="0DA948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）加强动态监督管理。</w:t>
      </w:r>
    </w:p>
    <w:p w14:paraId="0687359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）抓好典型示范引领。</w:t>
      </w:r>
    </w:p>
    <w:p w14:paraId="6F3797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）切实加强组织领导。</w:t>
      </w:r>
      <w:r>
        <w:rPr>
          <w:rFonts w:hint="eastAsia" w:ascii="仿宋_GB2312" w:hAnsi="仿宋_GB2312" w:eastAsia="仿宋_GB2312" w:cs="仿宋_GB2312"/>
          <w:color w:val="auto"/>
          <w:sz w:val="32"/>
          <w:szCs w:val="32"/>
          <w:lang w:val="en-US" w:eastAsia="zh-CN"/>
        </w:rPr>
        <w:t xml:space="preserve"> </w:t>
      </w:r>
    </w:p>
    <w:p w14:paraId="03D950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塔城地区第一、</w:t>
      </w:r>
      <w:r>
        <w:rPr>
          <w:rFonts w:hint="eastAsia" w:ascii="仿宋_GB2312" w:hAnsi="仿宋_GB2312" w:eastAsia="仿宋_GB2312" w:cs="仿宋_GB2312"/>
          <w:color w:val="auto"/>
          <w:sz w:val="32"/>
          <w:szCs w:val="32"/>
          <w:lang w:val="en-US" w:eastAsia="zh-CN"/>
        </w:rPr>
        <w:t>第八</w:t>
      </w:r>
      <w:r>
        <w:rPr>
          <w:rFonts w:hint="eastAsia" w:ascii="仿宋_GB2312" w:hAnsi="仿宋_GB2312" w:eastAsia="仿宋_GB2312" w:cs="仿宋_GB2312"/>
          <w:color w:val="auto"/>
          <w:sz w:val="32"/>
          <w:szCs w:val="32"/>
          <w:lang w:eastAsia="zh-CN"/>
        </w:rPr>
        <w:t>中心示范性服务项目2022年11月获得塔城地区发改委立项批复，项目总投资</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00万元（其中中央投资</w:t>
      </w:r>
      <w:r>
        <w:rPr>
          <w:rFonts w:hint="eastAsia" w:ascii="仿宋_GB2312" w:hAnsi="仿宋_GB2312" w:eastAsia="仿宋_GB2312" w:cs="仿宋_GB2312"/>
          <w:color w:val="auto"/>
          <w:sz w:val="32"/>
          <w:szCs w:val="32"/>
          <w:lang w:val="en-US" w:eastAsia="zh-CN"/>
        </w:rPr>
        <w:t>300</w:t>
      </w:r>
      <w:r>
        <w:rPr>
          <w:rFonts w:hint="eastAsia" w:ascii="仿宋_GB2312" w:hAnsi="仿宋_GB2312" w:eastAsia="仿宋_GB2312" w:cs="仿宋_GB2312"/>
          <w:color w:val="auto"/>
          <w:sz w:val="32"/>
          <w:szCs w:val="32"/>
          <w:lang w:eastAsia="zh-CN"/>
        </w:rPr>
        <w:t>万元，地方自配套资金</w:t>
      </w:r>
      <w:r>
        <w:rPr>
          <w:rFonts w:hint="eastAsia" w:ascii="仿宋_GB2312" w:hAnsi="仿宋_GB2312" w:eastAsia="仿宋_GB2312" w:cs="仿宋_GB2312"/>
          <w:color w:val="auto"/>
          <w:sz w:val="32"/>
          <w:szCs w:val="32"/>
          <w:lang w:val="en-US" w:eastAsia="zh-CN"/>
        </w:rPr>
        <w:t>300</w:t>
      </w:r>
      <w:r>
        <w:rPr>
          <w:rFonts w:hint="eastAsia" w:ascii="仿宋_GB2312" w:hAnsi="仿宋_GB2312" w:eastAsia="仿宋_GB2312" w:cs="仿宋_GB2312"/>
          <w:color w:val="auto"/>
          <w:sz w:val="32"/>
          <w:szCs w:val="32"/>
          <w:lang w:eastAsia="zh-CN"/>
        </w:rPr>
        <w:t>万元），到位中央预算资金</w:t>
      </w:r>
      <w:r>
        <w:rPr>
          <w:rFonts w:hint="eastAsia" w:ascii="仿宋_GB2312" w:hAnsi="仿宋_GB2312" w:eastAsia="仿宋_GB2312" w:cs="仿宋_GB2312"/>
          <w:color w:val="auto"/>
          <w:sz w:val="32"/>
          <w:szCs w:val="32"/>
          <w:lang w:val="en-US" w:eastAsia="zh-CN"/>
        </w:rPr>
        <w:t>300万元，</w:t>
      </w:r>
      <w:r>
        <w:rPr>
          <w:rFonts w:hint="eastAsia" w:ascii="仿宋_GB2312" w:hAnsi="仿宋_GB2312" w:eastAsia="仿宋_GB2312" w:cs="仿宋_GB2312"/>
          <w:color w:val="auto"/>
          <w:sz w:val="32"/>
          <w:szCs w:val="32"/>
          <w:lang w:eastAsia="zh-CN"/>
        </w:rPr>
        <w:t>项目设计托位300个，其中：</w:t>
      </w:r>
    </w:p>
    <w:p w14:paraId="305FA6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塔城地区第一托育中心示范性服务中心项目于2023年9月19日开工，10月18日完工。此项目采取集中＋嵌入式”增设托位，集中托位60个（第五小学院内食堂改扩建），另外80个托位在公办幼儿园中利用闲置教室进行嵌入式改造的方式实现（60个托位、天山路幼儿园20个托位）增设140个托位。 投资规模：项目总投资300万元（其中中央投资150万元，地方配套资金150万元）。实施单位：新疆恒业建设有限公司。合同价：149.600744万元，已支付：145.1127万元，未支付：3%的质保金4.4879万元。</w:t>
      </w:r>
    </w:p>
    <w:p w14:paraId="6FF573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塔城地区第八托育中心示范性服务中心项目于2023年10月10日开工,11月5日完工。此项目采取公办幼儿园中利用闲置教室进行嵌入式改造的方式实现（沙湾市金沟河镇幼儿园40个托位、大泉乡幼儿园20个托位、第四幼儿园40个托位、城东幼儿园20个托位、第三幼儿园40个托位），增设160个托位。 投资规模：项目总投资300万元（其中中央投资150万元，地方配套资金150万元）。实施单位：沙湾市靖盛投资管理有限公司。合同价：149.65万元，已支付：134.685万元，未支付:3%的质保金4.4895万元。</w:t>
      </w:r>
    </w:p>
    <w:p w14:paraId="4286ACA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本项目于2023年1月开始实施，</w:t>
      </w:r>
      <w:r>
        <w:rPr>
          <w:rFonts w:hint="eastAsia" w:ascii="仿宋_GB2312" w:hAnsi="仿宋_GB2312" w:eastAsia="仿宋_GB2312" w:cs="仿宋_GB2312"/>
          <w:color w:val="auto"/>
          <w:sz w:val="32"/>
          <w:szCs w:val="32"/>
          <w:highlight w:val="none"/>
          <w:lang w:val="en-US" w:eastAsia="zh-CN"/>
        </w:rPr>
        <w:t>截</w:t>
      </w:r>
      <w:r>
        <w:rPr>
          <w:rFonts w:hint="eastAsia" w:ascii="仿宋_GB2312" w:hAnsi="仿宋_GB2312" w:cs="仿宋_GB2312"/>
          <w:color w:val="auto"/>
          <w:sz w:val="32"/>
          <w:szCs w:val="32"/>
          <w:highlight w:val="none"/>
          <w:lang w:val="en-US" w:eastAsia="zh-CN"/>
        </w:rPr>
        <w:t>至</w:t>
      </w:r>
      <w:r>
        <w:rPr>
          <w:rFonts w:hint="eastAsia" w:ascii="仿宋_GB2312" w:hAnsi="仿宋_GB2312" w:eastAsia="仿宋_GB2312" w:cs="仿宋_GB2312"/>
          <w:color w:val="auto"/>
          <w:sz w:val="32"/>
          <w:szCs w:val="32"/>
          <w:highlight w:val="none"/>
          <w:lang w:val="en-US" w:eastAsia="zh-CN"/>
        </w:rPr>
        <w:t>2023年12月</w:t>
      </w:r>
      <w:r>
        <w:rPr>
          <w:rFonts w:hint="eastAsia" w:ascii="仿宋_GB2312" w:hAnsi="仿宋_GB2312" w:eastAsia="仿宋_GB2312" w:cs="仿宋_GB2312"/>
          <w:color w:val="auto"/>
          <w:sz w:val="32"/>
          <w:szCs w:val="32"/>
          <w:lang w:val="en-US" w:eastAsia="zh-CN"/>
        </w:rPr>
        <w:t>，该项目已实施完成，各项任务指标全部完成。通过本项目的实施，缓解生育养育焦虑，帮助父母回归就业，促进就业和家庭领域的性别平等，以及增强人力资本积累，具有积极的促进作用。</w:t>
      </w:r>
    </w:p>
    <w:p w14:paraId="6C6C149F">
      <w:pPr>
        <w:bidi w:val="0"/>
        <w:rPr>
          <w:rFonts w:hint="eastAsia"/>
          <w:b/>
          <w:bCs/>
          <w:color w:val="auto"/>
          <w:sz w:val="32"/>
          <w:szCs w:val="32"/>
          <w:highlight w:val="none"/>
        </w:rPr>
      </w:pPr>
      <w:r>
        <w:rPr>
          <w:rFonts w:hint="eastAsia"/>
          <w:b/>
          <w:bCs/>
          <w:color w:val="auto"/>
          <w:sz w:val="32"/>
          <w:szCs w:val="32"/>
          <w:highlight w:val="none"/>
        </w:rPr>
        <w:t>3.项目实施主体</w:t>
      </w:r>
    </w:p>
    <w:p w14:paraId="76D8DB9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塔地财建[2023]39号2023年积极应对人口老龄化工程和托育建设中央基建投资项目</w:t>
      </w:r>
      <w:r>
        <w:rPr>
          <w:rFonts w:hint="eastAsia" w:ascii="仿宋_GB2312" w:hAnsi="仿宋_GB2312" w:eastAsia="仿宋_GB2312" w:cs="仿宋_GB2312"/>
          <w:color w:val="auto"/>
          <w:sz w:val="32"/>
          <w:szCs w:val="32"/>
          <w:lang w:val="en-US" w:eastAsia="zh-Hans"/>
        </w:rPr>
        <w:t>的实施主体为</w:t>
      </w:r>
      <w:r>
        <w:rPr>
          <w:rFonts w:hint="eastAsia" w:ascii="仿宋_GB2312" w:hAnsi="仿宋_GB2312" w:eastAsia="仿宋_GB2312" w:cs="仿宋_GB2312"/>
          <w:color w:val="auto"/>
          <w:sz w:val="32"/>
          <w:szCs w:val="32"/>
          <w:lang w:val="en-US" w:eastAsia="zh-CN"/>
        </w:rPr>
        <w:t>沙湾市卫生健康委员会。</w:t>
      </w:r>
    </w:p>
    <w:p w14:paraId="192A036E">
      <w:pPr>
        <w:bidi w:val="0"/>
        <w:rPr>
          <w:rFonts w:hint="eastAsia"/>
          <w:b/>
          <w:bCs/>
          <w:color w:val="auto"/>
          <w:sz w:val="32"/>
          <w:szCs w:val="32"/>
          <w:highlight w:val="none"/>
        </w:rPr>
      </w:pPr>
      <w:r>
        <w:rPr>
          <w:rFonts w:hint="eastAsia"/>
          <w:b/>
          <w:bCs/>
          <w:color w:val="auto"/>
          <w:sz w:val="32"/>
          <w:szCs w:val="32"/>
          <w:highlight w:val="none"/>
        </w:rPr>
        <w:t>4. 资金投入和使用情况</w:t>
      </w:r>
    </w:p>
    <w:p w14:paraId="2C0DF1EC">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（1）项目资金安排落实、总投入情况</w:t>
      </w:r>
    </w:p>
    <w:p w14:paraId="526DF9E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塔地财建[2023]39号2023年积极应对人口老龄化工程和托育建设中央基建投资项目</w:t>
      </w:r>
      <w:r>
        <w:rPr>
          <w:rFonts w:hint="eastAsia" w:ascii="仿宋_GB2312" w:hAnsi="仿宋_GB2312" w:eastAsia="仿宋_GB2312" w:cs="仿宋_GB2312"/>
          <w:color w:val="auto"/>
          <w:sz w:val="32"/>
          <w:szCs w:val="32"/>
          <w:lang w:val="en-US" w:eastAsia="zh-Hans"/>
        </w:rPr>
        <w:t>预算</w:t>
      </w:r>
      <w:r>
        <w:rPr>
          <w:rFonts w:hint="eastAsia" w:ascii="仿宋_GB2312" w:hAnsi="仿宋_GB2312" w:eastAsia="仿宋_GB2312" w:cs="仿宋_GB2312"/>
          <w:color w:val="auto"/>
          <w:sz w:val="32"/>
          <w:szCs w:val="32"/>
          <w:lang w:val="en-US" w:eastAsia="zh-CN"/>
        </w:rPr>
        <w:t>安排资金</w:t>
      </w:r>
      <w:r>
        <w:rPr>
          <w:rFonts w:hint="eastAsia" w:ascii="仿宋_GB2312" w:hAnsi="仿宋_GB2312" w:eastAsia="仿宋_GB2312" w:cs="仿宋_GB2312"/>
          <w:color w:val="auto"/>
          <w:sz w:val="32"/>
          <w:szCs w:val="32"/>
          <w:lang w:val="en-US" w:eastAsia="zh-Hans"/>
        </w:rPr>
        <w:t>总额</w:t>
      </w:r>
      <w:r>
        <w:rPr>
          <w:rFonts w:hint="eastAsia" w:ascii="仿宋_GB2312" w:hAnsi="仿宋_GB2312" w:eastAsia="仿宋_GB2312" w:cs="仿宋_GB2312"/>
          <w:color w:val="auto"/>
          <w:sz w:val="32"/>
          <w:szCs w:val="32"/>
          <w:lang w:val="en-US" w:eastAsia="zh-CN"/>
        </w:rPr>
        <w:t>300万元，</w:t>
      </w:r>
      <w:r>
        <w:rPr>
          <w:rFonts w:hint="eastAsia" w:ascii="仿宋_GB2312" w:hAnsi="仿宋_GB2312" w:eastAsia="仿宋_GB2312" w:cs="仿宋_GB2312"/>
          <w:color w:val="auto"/>
          <w:sz w:val="32"/>
          <w:szCs w:val="32"/>
          <w:lang w:val="en-US" w:eastAsia="zh-Hans"/>
        </w:rPr>
        <w:t>其中</w:t>
      </w:r>
      <w:r>
        <w:rPr>
          <w:rFonts w:hint="eastAsia" w:ascii="仿宋_GB2312" w:hAnsi="仿宋_GB2312" w:eastAsia="仿宋_GB2312" w:cs="仿宋_GB2312"/>
          <w:color w:val="auto"/>
          <w:sz w:val="32"/>
          <w:szCs w:val="32"/>
          <w:lang w:val="en-US" w:eastAsia="zh-CN"/>
        </w:rPr>
        <w:t>财政资金300万元、其他资金0万元；2023年实际收到预算资金300万元，预算资金到位率为100%。</w:t>
      </w:r>
    </w:p>
    <w:p w14:paraId="66C23C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（2）项目资金实际使用情况</w:t>
      </w:r>
    </w:p>
    <w:p w14:paraId="17A22A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截至2023年12月31日，本项目实际支付资金279.79万元，预算执行率93.26%。项目资金主要用于支付全塔城地区第一、第八中心示范性服务项目的主体建设。</w:t>
      </w:r>
    </w:p>
    <w:p w14:paraId="7C6089DE">
      <w:pPr>
        <w:pStyle w:val="4"/>
        <w:numPr>
          <w:ilvl w:val="0"/>
          <w:numId w:val="2"/>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项目绩效目标</w:t>
      </w:r>
    </w:p>
    <w:p w14:paraId="212929DA">
      <w:pPr>
        <w:bidi w:val="0"/>
        <w:rPr>
          <w:rFonts w:hint="eastAsia"/>
          <w:b/>
          <w:bCs/>
          <w:color w:val="auto"/>
          <w:sz w:val="32"/>
          <w:szCs w:val="32"/>
          <w:highlight w:val="none"/>
        </w:rPr>
      </w:pPr>
      <w:r>
        <w:rPr>
          <w:rFonts w:hint="eastAsia"/>
          <w:b/>
          <w:bCs/>
          <w:color w:val="auto"/>
          <w:sz w:val="32"/>
          <w:szCs w:val="32"/>
          <w:highlight w:val="none"/>
        </w:rPr>
        <w:t>1.总体目标</w:t>
      </w:r>
    </w:p>
    <w:p w14:paraId="22EE61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多渠道发展普惠托育服务，减轻家庭生育、养育、教育负担。发展普惠托育服务是破解托育服务供需矛盾</w:t>
      </w:r>
      <w:r>
        <w:rPr>
          <w:rFonts w:hint="eastAsia" w:ascii="仿宋_GB2312" w:hAnsi="仿宋_GB2312" w:cs="仿宋_GB2312"/>
          <w:color w:val="auto"/>
          <w:sz w:val="32"/>
          <w:szCs w:val="32"/>
          <w:lang w:val="en-US" w:eastAsia="zh-CN"/>
        </w:rPr>
        <w:t>。</w:t>
      </w:r>
      <w:r>
        <w:rPr>
          <w:rFonts w:hint="eastAsia"/>
          <w:color w:val="auto"/>
          <w:sz w:val="32"/>
          <w:szCs w:val="32"/>
          <w:highlight w:val="none"/>
          <w:lang w:val="en-US" w:eastAsia="zh-CN"/>
        </w:rPr>
        <w:t>“目标1</w:t>
      </w:r>
      <w:r>
        <w:rPr>
          <w:color w:val="auto"/>
          <w:sz w:val="32"/>
          <w:szCs w:val="32"/>
          <w:highlight w:val="none"/>
        </w:rPr>
        <w:t>：</w:t>
      </w:r>
      <w:r>
        <w:rPr>
          <w:rFonts w:hint="eastAsia"/>
          <w:color w:val="auto"/>
          <w:sz w:val="32"/>
          <w:szCs w:val="32"/>
          <w:highlight w:val="none"/>
          <w:lang w:val="en-US" w:eastAsia="zh-CN"/>
        </w:rPr>
        <w:t>2023年12月底前</w:t>
      </w:r>
      <w:r>
        <w:rPr>
          <w:rFonts w:hint="eastAsia" w:ascii="仿宋_GB2312"/>
          <w:color w:val="auto"/>
          <w:sz w:val="32"/>
          <w:szCs w:val="32"/>
          <w:highlight w:val="none"/>
          <w:lang w:val="en-US" w:eastAsia="zh-CN"/>
        </w:rPr>
        <w:t>完成第一及第八托育机构主体工程建设；</w:t>
      </w:r>
      <w:r>
        <w:rPr>
          <w:rFonts w:hint="eastAsia"/>
          <w:color w:val="auto"/>
          <w:sz w:val="32"/>
          <w:szCs w:val="32"/>
          <w:highlight w:val="none"/>
          <w:lang w:val="en-US" w:eastAsia="zh-CN"/>
        </w:rPr>
        <w:t>目标2：完成项目主体工程验收</w:t>
      </w:r>
      <w:r>
        <w:rPr>
          <w:rFonts w:hint="eastAsia" w:ascii="仿宋_GB2312" w:hAnsi="Times New Roman" w:cs="Times New Roman"/>
          <w:color w:val="auto"/>
          <w:sz w:val="32"/>
          <w:szCs w:val="32"/>
          <w:highlight w:val="none"/>
          <w:lang w:val="en-US" w:eastAsia="zh-CN"/>
        </w:rPr>
        <w:t>。</w:t>
      </w:r>
      <w:r>
        <w:rPr>
          <w:rFonts w:hint="eastAsia"/>
          <w:color w:val="auto"/>
          <w:sz w:val="32"/>
          <w:szCs w:val="32"/>
          <w:highlight w:val="none"/>
          <w:lang w:val="en-US" w:eastAsia="zh-CN"/>
        </w:rPr>
        <w:t>目标3：</w:t>
      </w:r>
      <w:r>
        <w:rPr>
          <w:rFonts w:hint="eastAsia" w:ascii="仿宋_GB2312"/>
          <w:color w:val="auto"/>
          <w:sz w:val="32"/>
          <w:szCs w:val="32"/>
          <w:highlight w:val="none"/>
          <w:lang w:eastAsia="zh-CN"/>
        </w:rPr>
        <w:t>服务对象满意度</w:t>
      </w:r>
      <w:r>
        <w:rPr>
          <w:rFonts w:hint="eastAsia" w:ascii="仿宋_GB2312"/>
          <w:color w:val="auto"/>
          <w:sz w:val="32"/>
          <w:szCs w:val="32"/>
          <w:highlight w:val="none"/>
          <w:lang w:val="en-US" w:eastAsia="zh-CN"/>
        </w:rPr>
        <w:t>95%。</w:t>
      </w:r>
      <w:r>
        <w:rPr>
          <w:rFonts w:hint="eastAsia" w:ascii="仿宋_GB2312" w:hAnsi="Times New Roman" w:cs="Times New Roman"/>
          <w:color w:val="auto"/>
          <w:sz w:val="32"/>
          <w:szCs w:val="32"/>
          <w:highlight w:val="none"/>
          <w:lang w:eastAsia="zh-CN"/>
        </w:rPr>
        <w:t>通过</w:t>
      </w:r>
      <w:r>
        <w:rPr>
          <w:rFonts w:hint="eastAsia" w:ascii="仿宋_GB2312" w:hAnsi="Times New Roman" w:cs="Times New Roman"/>
          <w:color w:val="auto"/>
          <w:sz w:val="32"/>
          <w:szCs w:val="32"/>
          <w:highlight w:val="none"/>
          <w:lang w:val="en-US" w:eastAsia="zh-CN"/>
        </w:rPr>
        <w:t>本</w:t>
      </w:r>
      <w:r>
        <w:rPr>
          <w:rFonts w:hint="eastAsia" w:ascii="仿宋_GB2312" w:hAnsi="Times New Roman" w:cs="Times New Roman"/>
          <w:color w:val="auto"/>
          <w:sz w:val="32"/>
          <w:szCs w:val="32"/>
          <w:highlight w:val="none"/>
          <w:lang w:eastAsia="zh-CN"/>
        </w:rPr>
        <w:t>项目</w:t>
      </w:r>
      <w:r>
        <w:rPr>
          <w:rFonts w:hint="eastAsia" w:ascii="仿宋_GB2312" w:hAnsi="Times New Roman" w:cs="Times New Roman"/>
          <w:color w:val="auto"/>
          <w:sz w:val="32"/>
          <w:szCs w:val="32"/>
          <w:highlight w:val="none"/>
          <w:lang w:val="en-US" w:eastAsia="zh-CN"/>
        </w:rPr>
        <w:t>的</w:t>
      </w:r>
      <w:r>
        <w:rPr>
          <w:rFonts w:hint="eastAsia" w:ascii="仿宋_GB2312" w:hAnsi="Times New Roman" w:cs="Times New Roman"/>
          <w:color w:val="auto"/>
          <w:sz w:val="32"/>
          <w:szCs w:val="32"/>
          <w:highlight w:val="none"/>
          <w:lang w:eastAsia="zh-CN"/>
        </w:rPr>
        <w:t>实施，</w:t>
      </w:r>
      <w:r>
        <w:rPr>
          <w:rFonts w:hint="eastAsia" w:ascii="仿宋_GB2312" w:hAnsi="仿宋_GB2312" w:eastAsia="仿宋_GB2312" w:cs="仿宋_GB2312"/>
          <w:color w:val="auto"/>
          <w:sz w:val="32"/>
          <w:szCs w:val="32"/>
          <w:lang w:val="en-US" w:eastAsia="zh-CN"/>
        </w:rPr>
        <w:t>增进民生福祉</w:t>
      </w:r>
      <w:r>
        <w:rPr>
          <w:rFonts w:hint="eastAsia" w:ascii="仿宋_GB2312" w:hAnsi="仿宋_GB2312" w:eastAsia="仿宋_GB2312" w:cs="仿宋_GB2312"/>
          <w:color w:val="auto"/>
          <w:sz w:val="32"/>
          <w:szCs w:val="32"/>
          <w:lang w:val="en-US" w:eastAsia="zh-CN"/>
        </w:rPr>
        <w:t>的关键举措，对于满足家庭托育服务需求，缓解生育养育焦虑，帮助父母回归就业，促进就业和家庭领域的性别平等，以及增强人力资本积累，具有积极的促进作用。</w:t>
      </w:r>
    </w:p>
    <w:p w14:paraId="15AB7A55">
      <w:pPr>
        <w:bidi w:val="0"/>
        <w:rPr>
          <w:rFonts w:hint="eastAsia"/>
          <w:b/>
          <w:bCs/>
          <w:color w:val="auto"/>
          <w:sz w:val="32"/>
          <w:szCs w:val="32"/>
          <w:highlight w:val="none"/>
        </w:rPr>
      </w:pPr>
      <w:r>
        <w:rPr>
          <w:rFonts w:hint="eastAsia"/>
          <w:b/>
          <w:bCs/>
          <w:color w:val="auto"/>
          <w:sz w:val="32"/>
          <w:szCs w:val="32"/>
          <w:highlight w:val="none"/>
        </w:rPr>
        <w:t>2.阶段性目标</w:t>
      </w:r>
    </w:p>
    <w:p w14:paraId="275B1B60">
      <w:pPr>
        <w:spacing w:line="600" w:lineRule="exact"/>
        <w:ind w:firstLine="640"/>
        <w:rPr>
          <w:rFonts w:ascii="仿宋_GB2312"/>
          <w:b/>
          <w:bCs/>
          <w:color w:val="auto"/>
          <w:sz w:val="32"/>
          <w:szCs w:val="32"/>
          <w:highlight w:val="none"/>
        </w:rPr>
      </w:pPr>
      <w:r>
        <w:rPr>
          <w:rFonts w:hint="eastAsia" w:ascii="仿宋_GB2312" w:hAnsi="Arial" w:cs="宋体"/>
          <w:bCs/>
          <w:color w:val="auto"/>
          <w:sz w:val="32"/>
          <w:szCs w:val="32"/>
          <w:highlight w:val="none"/>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Arial" w:cs="宋体"/>
          <w:bCs/>
          <w:color w:val="auto"/>
          <w:sz w:val="32"/>
          <w:szCs w:val="32"/>
          <w:highlight w:val="none"/>
          <w:lang w:val="en-US" w:eastAsia="zh-CN"/>
        </w:rPr>
        <w:t>塔城</w:t>
      </w:r>
      <w:r>
        <w:rPr>
          <w:rFonts w:hint="eastAsia" w:ascii="仿宋_GB2312" w:hAnsi="Arial" w:cs="宋体"/>
          <w:bCs/>
          <w:color w:val="auto"/>
          <w:sz w:val="32"/>
          <w:szCs w:val="32"/>
          <w:highlight w:val="none"/>
        </w:rPr>
        <w:t>地区财政</w:t>
      </w:r>
      <w:r>
        <w:rPr>
          <w:rFonts w:hint="eastAsia" w:ascii="仿宋_GB2312"/>
          <w:color w:val="auto"/>
          <w:sz w:val="32"/>
          <w:szCs w:val="32"/>
          <w:highlight w:val="none"/>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号）等文件要求，</w:t>
      </w:r>
      <w:r>
        <w:rPr>
          <w:rFonts w:hint="eastAsia" w:ascii="仿宋_GB2312" w:hAnsi="Arial" w:cs="宋体"/>
          <w:bCs/>
          <w:color w:val="auto"/>
          <w:sz w:val="32"/>
          <w:szCs w:val="32"/>
          <w:highlight w:val="none"/>
        </w:rPr>
        <w:t>结合本项目实际，对绩效目标进行逐层分解、细化后的具体绩效指标如下：</w:t>
      </w:r>
    </w:p>
    <w:p w14:paraId="57E7820A">
      <w:pPr>
        <w:numPr>
          <w:ilvl w:val="0"/>
          <w:numId w:val="3"/>
        </w:numPr>
        <w:spacing w:line="600" w:lineRule="exact"/>
        <w:ind w:firstLine="640"/>
        <w:rPr>
          <w:color w:val="auto"/>
          <w:sz w:val="32"/>
          <w:szCs w:val="32"/>
          <w:highlight w:val="none"/>
        </w:rPr>
      </w:pPr>
      <w:r>
        <w:rPr>
          <w:rFonts w:hint="eastAsia"/>
          <w:color w:val="auto"/>
          <w:sz w:val="32"/>
          <w:szCs w:val="32"/>
          <w:highlight w:val="none"/>
        </w:rPr>
        <w:t>项目产出</w:t>
      </w:r>
      <w:r>
        <w:rPr>
          <w:rFonts w:hint="eastAsia"/>
          <w:color w:val="auto"/>
          <w:sz w:val="32"/>
          <w:szCs w:val="32"/>
          <w:highlight w:val="none"/>
          <w:lang w:val="en-US" w:eastAsia="zh-CN"/>
        </w:rPr>
        <w:t>指标</w:t>
      </w:r>
    </w:p>
    <w:p w14:paraId="65F5F8DA">
      <w:pPr>
        <w:spacing w:line="600" w:lineRule="exact"/>
        <w:ind w:firstLine="640"/>
        <w:rPr>
          <w:color w:val="auto"/>
          <w:sz w:val="32"/>
          <w:szCs w:val="32"/>
          <w:highlight w:val="none"/>
        </w:rPr>
      </w:pPr>
      <w:r>
        <w:rPr>
          <w:rFonts w:hint="eastAsia"/>
          <w:color w:val="auto"/>
          <w:sz w:val="32"/>
          <w:szCs w:val="32"/>
          <w:highlight w:val="none"/>
        </w:rPr>
        <w:t>①数量指标</w:t>
      </w:r>
    </w:p>
    <w:p w14:paraId="049F050B">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color w:val="auto"/>
          <w:sz w:val="32"/>
          <w:szCs w:val="32"/>
          <w:highlight w:val="none"/>
          <w:lang w:val="en-US" w:eastAsia="zh-CN"/>
        </w:rPr>
        <w:t>托育机构项目数</w:t>
      </w:r>
      <w:r>
        <w:rPr>
          <w:rFonts w:hint="eastAsia"/>
          <w:color w:val="auto"/>
          <w:sz w:val="32"/>
          <w:szCs w:val="32"/>
          <w:highlight w:val="none"/>
        </w:rPr>
        <w:t>”指标，预期指标值为</w:t>
      </w:r>
      <w:r>
        <w:rPr>
          <w:rFonts w:hint="eastAsia"/>
          <w:color w:val="auto"/>
          <w:sz w:val="32"/>
          <w:szCs w:val="32"/>
          <w:highlight w:val="none"/>
          <w:lang w:eastAsia="zh-CN"/>
        </w:rPr>
        <w:t>等于</w:t>
      </w:r>
      <w:r>
        <w:rPr>
          <w:rFonts w:hint="eastAsia" w:ascii="宋体" w:hAnsi="宋体" w:eastAsia="宋体"/>
          <w:color w:val="auto"/>
          <w:sz w:val="32"/>
          <w:szCs w:val="32"/>
          <w:highlight w:val="none"/>
          <w:lang w:val="en-US" w:eastAsia="zh-CN"/>
        </w:rPr>
        <w:t>2个</w:t>
      </w:r>
      <w:r>
        <w:rPr>
          <w:rFonts w:hint="eastAsia"/>
          <w:color w:val="auto"/>
          <w:sz w:val="32"/>
          <w:szCs w:val="32"/>
          <w:highlight w:val="none"/>
        </w:rPr>
        <w:t>”</w:t>
      </w:r>
      <w:r>
        <w:rPr>
          <w:rFonts w:hint="eastAsia"/>
          <w:color w:val="auto"/>
          <w:sz w:val="32"/>
          <w:szCs w:val="32"/>
          <w:highlight w:val="none"/>
          <w:lang w:eastAsia="zh-CN"/>
        </w:rPr>
        <w:t>。</w:t>
      </w:r>
    </w:p>
    <w:p w14:paraId="36E683B0">
      <w:pPr>
        <w:spacing w:line="600" w:lineRule="exact"/>
        <w:ind w:firstLine="640"/>
        <w:rPr>
          <w:color w:val="auto"/>
          <w:sz w:val="32"/>
          <w:szCs w:val="32"/>
          <w:highlight w:val="none"/>
        </w:rPr>
      </w:pPr>
      <w:r>
        <w:rPr>
          <w:rFonts w:hint="eastAsia"/>
          <w:color w:val="auto"/>
          <w:sz w:val="32"/>
          <w:szCs w:val="32"/>
          <w:highlight w:val="none"/>
        </w:rPr>
        <w:t>②质量指标</w:t>
      </w:r>
    </w:p>
    <w:p w14:paraId="53B430D6">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建设项目验收合格率</w:t>
      </w:r>
      <w:r>
        <w:rPr>
          <w:rFonts w:hint="eastAsia"/>
          <w:color w:val="auto"/>
          <w:sz w:val="32"/>
          <w:szCs w:val="32"/>
          <w:highlight w:val="none"/>
        </w:rPr>
        <w:t>”指标，预期指标值为“</w:t>
      </w:r>
      <w:r>
        <w:rPr>
          <w:rFonts w:hint="eastAsia" w:ascii="仿宋_GB2312"/>
          <w:color w:val="auto"/>
          <w:sz w:val="32"/>
          <w:szCs w:val="32"/>
          <w:highlight w:val="none"/>
          <w:lang w:val="en-US" w:eastAsia="zh-CN"/>
        </w:rPr>
        <w:t>等于100%</w:t>
      </w:r>
      <w:r>
        <w:rPr>
          <w:rFonts w:hint="eastAsia"/>
          <w:color w:val="auto"/>
          <w:sz w:val="32"/>
          <w:szCs w:val="32"/>
          <w:highlight w:val="none"/>
        </w:rPr>
        <w:t>”；</w:t>
      </w:r>
    </w:p>
    <w:p w14:paraId="114316F6">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设施达到当地抗震设防要求达标率</w:t>
      </w:r>
      <w:r>
        <w:rPr>
          <w:rFonts w:hint="eastAsia"/>
          <w:color w:val="auto"/>
          <w:sz w:val="32"/>
          <w:szCs w:val="32"/>
          <w:highlight w:val="none"/>
        </w:rPr>
        <w:t>”指标，预期指标值为“</w:t>
      </w:r>
      <w:r>
        <w:rPr>
          <w:rFonts w:hint="eastAsia" w:ascii="仿宋_GB2312"/>
          <w:color w:val="auto"/>
          <w:sz w:val="32"/>
          <w:szCs w:val="32"/>
          <w:highlight w:val="none"/>
          <w:lang w:val="en-US" w:eastAsia="zh-CN"/>
        </w:rPr>
        <w:t>等于100%</w:t>
      </w:r>
      <w:r>
        <w:rPr>
          <w:rFonts w:hint="eastAsia"/>
          <w:color w:val="auto"/>
          <w:sz w:val="32"/>
          <w:szCs w:val="32"/>
          <w:highlight w:val="none"/>
        </w:rPr>
        <w:t>”。</w:t>
      </w:r>
    </w:p>
    <w:p w14:paraId="278D8CB9">
      <w:pPr>
        <w:spacing w:line="600" w:lineRule="exact"/>
        <w:ind w:firstLine="640"/>
        <w:rPr>
          <w:color w:val="auto"/>
          <w:sz w:val="32"/>
          <w:szCs w:val="32"/>
          <w:highlight w:val="none"/>
        </w:rPr>
      </w:pPr>
      <w:r>
        <w:rPr>
          <w:rFonts w:hint="eastAsia"/>
          <w:color w:val="auto"/>
          <w:sz w:val="32"/>
          <w:szCs w:val="32"/>
          <w:highlight w:val="none"/>
        </w:rPr>
        <w:t>③时效指标</w:t>
      </w:r>
    </w:p>
    <w:p w14:paraId="21406434">
      <w:pPr>
        <w:spacing w:line="600" w:lineRule="exact"/>
        <w:ind w:firstLine="640"/>
        <w:rPr>
          <w:rFonts w:hint="eastAsia"/>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val="en-US" w:eastAsia="zh-CN"/>
        </w:rPr>
        <w:t>托育机构完工及时率</w:t>
      </w:r>
      <w:r>
        <w:rPr>
          <w:rFonts w:hint="eastAsia"/>
          <w:color w:val="auto"/>
          <w:sz w:val="32"/>
          <w:szCs w:val="32"/>
          <w:highlight w:val="none"/>
        </w:rPr>
        <w:t>”指标，预期指标值为“</w:t>
      </w:r>
      <w:r>
        <w:rPr>
          <w:rFonts w:hint="eastAsia" w:ascii="仿宋_GB2312"/>
          <w:color w:val="auto"/>
          <w:sz w:val="32"/>
          <w:szCs w:val="32"/>
          <w:highlight w:val="none"/>
          <w:lang w:val="en-US" w:eastAsia="zh-CN"/>
        </w:rPr>
        <w:t>等于100%</w:t>
      </w:r>
      <w:r>
        <w:rPr>
          <w:rFonts w:hint="eastAsia"/>
          <w:color w:val="auto"/>
          <w:sz w:val="32"/>
          <w:szCs w:val="32"/>
          <w:highlight w:val="none"/>
        </w:rPr>
        <w:t>”</w:t>
      </w:r>
      <w:r>
        <w:rPr>
          <w:rFonts w:hint="eastAsia"/>
          <w:color w:val="auto"/>
          <w:sz w:val="32"/>
          <w:szCs w:val="32"/>
          <w:highlight w:val="none"/>
          <w:lang w:eastAsia="zh-CN"/>
        </w:rPr>
        <w:t>；</w:t>
      </w:r>
    </w:p>
    <w:p w14:paraId="253E548F">
      <w:pPr>
        <w:spacing w:line="600" w:lineRule="exact"/>
        <w:ind w:firstLine="640"/>
        <w:rPr>
          <w:rFonts w:hint="eastAsia"/>
          <w:color w:val="auto"/>
          <w:lang w:eastAsia="zh-CN"/>
        </w:rPr>
      </w:pPr>
      <w:r>
        <w:rPr>
          <w:rFonts w:hint="eastAsia"/>
          <w:color w:val="auto"/>
          <w:sz w:val="32"/>
          <w:szCs w:val="32"/>
          <w:highlight w:val="none"/>
        </w:rPr>
        <w:t>“</w:t>
      </w:r>
      <w:r>
        <w:rPr>
          <w:rFonts w:hint="eastAsia"/>
          <w:color w:val="auto"/>
          <w:sz w:val="32"/>
          <w:szCs w:val="32"/>
          <w:highlight w:val="none"/>
          <w:lang w:val="en-US" w:eastAsia="zh-CN"/>
        </w:rPr>
        <w:t>项目完成时限</w:t>
      </w:r>
      <w:r>
        <w:rPr>
          <w:rFonts w:hint="eastAsia"/>
          <w:color w:val="auto"/>
          <w:sz w:val="32"/>
          <w:szCs w:val="32"/>
          <w:highlight w:val="none"/>
        </w:rPr>
        <w:t>”指标，预期指标值为“</w:t>
      </w:r>
      <w:r>
        <w:rPr>
          <w:rFonts w:hint="eastAsia" w:ascii="仿宋_GB2312"/>
          <w:color w:val="auto"/>
          <w:sz w:val="32"/>
          <w:szCs w:val="32"/>
          <w:highlight w:val="none"/>
          <w:lang w:val="en-US" w:eastAsia="zh-CN"/>
        </w:rPr>
        <w:t>2023年12月25日前</w:t>
      </w:r>
      <w:r>
        <w:rPr>
          <w:rFonts w:hint="eastAsia"/>
          <w:color w:val="auto"/>
          <w:sz w:val="32"/>
          <w:szCs w:val="32"/>
          <w:highlight w:val="none"/>
        </w:rPr>
        <w:t>”</w:t>
      </w:r>
      <w:r>
        <w:rPr>
          <w:rFonts w:hint="eastAsia"/>
          <w:color w:val="auto"/>
          <w:sz w:val="32"/>
          <w:szCs w:val="32"/>
          <w:highlight w:val="none"/>
          <w:lang w:eastAsia="zh-CN"/>
        </w:rPr>
        <w:t>。</w:t>
      </w:r>
    </w:p>
    <w:p w14:paraId="68A0A34A">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14:paraId="6808CB0A">
      <w:pPr>
        <w:spacing w:line="600" w:lineRule="exact"/>
        <w:ind w:firstLine="640"/>
        <w:rPr>
          <w:color w:val="auto"/>
          <w:highlight w:val="none"/>
        </w:rPr>
      </w:pPr>
      <w:r>
        <w:rPr>
          <w:rFonts w:hint="eastAsia"/>
          <w:color w:val="auto"/>
          <w:sz w:val="32"/>
          <w:szCs w:val="32"/>
          <w:highlight w:val="none"/>
        </w:rPr>
        <w:t>①</w:t>
      </w:r>
      <w:r>
        <w:rPr>
          <w:rFonts w:hint="eastAsia"/>
          <w:color w:val="auto"/>
          <w:sz w:val="32"/>
          <w:szCs w:val="32"/>
          <w:highlight w:val="none"/>
          <w:lang w:val="en-US" w:eastAsia="zh-CN"/>
        </w:rPr>
        <w:t>经济成本</w:t>
      </w:r>
      <w:r>
        <w:rPr>
          <w:rFonts w:hint="eastAsia"/>
          <w:color w:val="auto"/>
          <w:sz w:val="32"/>
          <w:szCs w:val="32"/>
          <w:highlight w:val="none"/>
        </w:rPr>
        <w:t>指标</w:t>
      </w:r>
    </w:p>
    <w:p w14:paraId="1B0138EA">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塔城地区第一托育机构项目资金</w:t>
      </w:r>
      <w:r>
        <w:rPr>
          <w:rFonts w:hint="eastAsia"/>
          <w:color w:val="auto"/>
          <w:sz w:val="32"/>
          <w:szCs w:val="32"/>
          <w:highlight w:val="none"/>
        </w:rPr>
        <w:t>”指标，预期指标值为“</w:t>
      </w:r>
      <w:r>
        <w:rPr>
          <w:rFonts w:hint="eastAsia" w:ascii="仿宋_GB2312"/>
          <w:color w:val="auto"/>
          <w:sz w:val="32"/>
          <w:szCs w:val="32"/>
          <w:highlight w:val="none"/>
          <w:lang w:val="en-US" w:eastAsia="zh-CN"/>
        </w:rPr>
        <w:t>小于等于150万元”；</w:t>
      </w:r>
    </w:p>
    <w:p w14:paraId="50D8FCBF">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val="en-US" w:eastAsia="zh-CN"/>
        </w:rPr>
        <w:t>塔城地区第一托育机构项目资金</w:t>
      </w:r>
      <w:r>
        <w:rPr>
          <w:rFonts w:hint="eastAsia"/>
          <w:color w:val="auto"/>
          <w:sz w:val="32"/>
          <w:szCs w:val="32"/>
          <w:highlight w:val="none"/>
        </w:rPr>
        <w:t>”指标，预期指标值为“</w:t>
      </w:r>
      <w:r>
        <w:rPr>
          <w:rFonts w:hint="eastAsia" w:ascii="仿宋_GB2312"/>
          <w:color w:val="auto"/>
          <w:sz w:val="32"/>
          <w:szCs w:val="32"/>
          <w:highlight w:val="none"/>
          <w:lang w:val="en-US" w:eastAsia="zh-CN"/>
        </w:rPr>
        <w:t>小于等于150万元”。</w:t>
      </w:r>
    </w:p>
    <w:p w14:paraId="4162C6B6">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14:paraId="62B64D9C">
      <w:pPr>
        <w:spacing w:line="600" w:lineRule="exact"/>
        <w:ind w:firstLine="640"/>
        <w:rPr>
          <w:color w:val="auto"/>
          <w:sz w:val="32"/>
          <w:szCs w:val="32"/>
          <w:highlight w:val="none"/>
        </w:rPr>
      </w:pPr>
      <w:r>
        <w:rPr>
          <w:rFonts w:hint="eastAsia"/>
          <w:color w:val="auto"/>
          <w:sz w:val="32"/>
          <w:szCs w:val="32"/>
          <w:highlight w:val="none"/>
        </w:rPr>
        <w:t>①社会效益指标</w:t>
      </w:r>
    </w:p>
    <w:p w14:paraId="1AA2A86F">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完善托育机构服务基础设施条件</w:t>
      </w:r>
      <w:r>
        <w:rPr>
          <w:rFonts w:hint="eastAsia"/>
          <w:color w:val="auto"/>
          <w:sz w:val="32"/>
          <w:szCs w:val="32"/>
          <w:highlight w:val="none"/>
        </w:rPr>
        <w:t>”指标，预期指标值为“</w:t>
      </w:r>
      <w:r>
        <w:rPr>
          <w:rFonts w:hint="eastAsia" w:ascii="仿宋_GB2312"/>
          <w:color w:val="auto"/>
          <w:sz w:val="32"/>
          <w:szCs w:val="32"/>
          <w:highlight w:val="none"/>
          <w:lang w:val="en-US" w:eastAsia="zh-CN"/>
        </w:rPr>
        <w:t>不断完善</w:t>
      </w:r>
      <w:r>
        <w:rPr>
          <w:rFonts w:hint="eastAsia"/>
          <w:color w:val="auto"/>
          <w:sz w:val="32"/>
          <w:szCs w:val="32"/>
          <w:highlight w:val="none"/>
        </w:rPr>
        <w:t>”。</w:t>
      </w:r>
    </w:p>
    <w:p w14:paraId="1EDEA699">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14:paraId="08F7BD18">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服务</w:t>
      </w:r>
      <w:r>
        <w:rPr>
          <w:rFonts w:hint="eastAsia" w:ascii="仿宋_GB2312"/>
          <w:color w:val="auto"/>
          <w:sz w:val="32"/>
          <w:szCs w:val="32"/>
          <w:highlight w:val="none"/>
          <w:lang w:val="en-US" w:eastAsia="zh-CN"/>
        </w:rPr>
        <w:t>群众</w:t>
      </w:r>
      <w:r>
        <w:rPr>
          <w:rFonts w:hint="eastAsia" w:ascii="仿宋_GB2312"/>
          <w:color w:val="auto"/>
          <w:sz w:val="32"/>
          <w:szCs w:val="32"/>
          <w:highlight w:val="none"/>
          <w:lang w:eastAsia="zh-CN"/>
        </w:rPr>
        <w:t>满意度</w:t>
      </w:r>
      <w:r>
        <w:rPr>
          <w:rFonts w:hint="eastAsia"/>
          <w:color w:val="auto"/>
          <w:sz w:val="32"/>
          <w:szCs w:val="32"/>
          <w:highlight w:val="none"/>
        </w:rPr>
        <w:t>”指标，预期指标值为“</w:t>
      </w:r>
      <w:r>
        <w:rPr>
          <w:rFonts w:hint="eastAsia" w:ascii="仿宋_GB2312"/>
          <w:color w:val="auto"/>
          <w:sz w:val="32"/>
          <w:szCs w:val="32"/>
          <w:highlight w:val="none"/>
          <w:lang w:eastAsia="zh-CN"/>
        </w:rPr>
        <w:t>大于等于</w:t>
      </w:r>
      <w:r>
        <w:rPr>
          <w:rFonts w:hint="eastAsia" w:ascii="仿宋_GB2312"/>
          <w:color w:val="auto"/>
          <w:sz w:val="32"/>
          <w:szCs w:val="32"/>
          <w:highlight w:val="none"/>
          <w:lang w:val="en-US" w:eastAsia="zh-CN"/>
        </w:rPr>
        <w:t>9</w:t>
      </w:r>
      <w:r>
        <w:rPr>
          <w:rFonts w:hint="eastAsia" w:ascii="宋体" w:hAnsi="宋体" w:eastAsia="宋体"/>
          <w:color w:val="auto"/>
          <w:sz w:val="32"/>
          <w:szCs w:val="32"/>
          <w:highlight w:val="none"/>
          <w:lang w:val="en-US" w:eastAsia="zh-CN"/>
        </w:rPr>
        <w:t>0%</w:t>
      </w:r>
      <w:r>
        <w:rPr>
          <w:rFonts w:hint="eastAsia"/>
          <w:color w:val="auto"/>
          <w:sz w:val="32"/>
          <w:szCs w:val="32"/>
          <w:highlight w:val="none"/>
        </w:rPr>
        <w:t>”。</w:t>
      </w:r>
    </w:p>
    <w:p w14:paraId="72C96CAF">
      <w:pPr>
        <w:pStyle w:val="3"/>
        <w:spacing w:line="600" w:lineRule="exact"/>
        <w:ind w:firstLine="640"/>
        <w:rPr>
          <w:color w:val="auto"/>
          <w:szCs w:val="32"/>
          <w:highlight w:val="none"/>
        </w:rPr>
      </w:pPr>
      <w:r>
        <w:rPr>
          <w:rFonts w:hint="eastAsia"/>
          <w:color w:val="auto"/>
          <w:szCs w:val="32"/>
          <w:highlight w:val="none"/>
        </w:rPr>
        <w:t>二、绩效评价工作开展情况</w:t>
      </w:r>
    </w:p>
    <w:p w14:paraId="10E085E8">
      <w:pPr>
        <w:pStyle w:val="4"/>
        <w:numPr>
          <w:ilvl w:val="0"/>
          <w:numId w:val="4"/>
        </w:numPr>
        <w:spacing w:line="600" w:lineRule="exact"/>
        <w:ind w:firstLine="643"/>
        <w:rPr>
          <w:rFonts w:ascii="楷体_GB2312" w:eastAsia="楷体_GB2312"/>
          <w:color w:val="auto"/>
          <w:szCs w:val="32"/>
          <w:highlight w:val="none"/>
        </w:rPr>
      </w:pPr>
      <w:bookmarkStart w:id="0" w:name="_Toc12868"/>
      <w:bookmarkStart w:id="1" w:name="_Toc22169_WPSOffice_Level2"/>
      <w:bookmarkStart w:id="2" w:name="_Toc5258"/>
      <w:bookmarkStart w:id="3" w:name="_Toc5462343"/>
      <w:bookmarkStart w:id="4" w:name="_Toc22922"/>
      <w:bookmarkStart w:id="5" w:name="_Toc480473081"/>
      <w:bookmarkStart w:id="6" w:name="_Toc26632"/>
      <w:bookmarkStart w:id="7" w:name="_Toc21664"/>
      <w:r>
        <w:rPr>
          <w:rFonts w:hint="eastAsia" w:ascii="楷体_GB2312" w:eastAsia="楷体_GB2312"/>
          <w:color w:val="auto"/>
          <w:szCs w:val="32"/>
          <w:highlight w:val="none"/>
        </w:rPr>
        <w:t>绩效评价的目的</w:t>
      </w:r>
      <w:bookmarkEnd w:id="0"/>
      <w:bookmarkEnd w:id="1"/>
      <w:bookmarkEnd w:id="2"/>
      <w:bookmarkEnd w:id="3"/>
      <w:bookmarkEnd w:id="4"/>
      <w:bookmarkEnd w:id="5"/>
      <w:bookmarkEnd w:id="6"/>
      <w:bookmarkEnd w:id="7"/>
      <w:r>
        <w:rPr>
          <w:rFonts w:hint="eastAsia" w:ascii="楷体_GB2312" w:eastAsia="楷体_GB2312"/>
          <w:color w:val="auto"/>
          <w:szCs w:val="32"/>
          <w:highlight w:val="none"/>
        </w:rPr>
        <w:t>、对象和范围</w:t>
      </w:r>
    </w:p>
    <w:p w14:paraId="4EC5B80B">
      <w:pPr>
        <w:bidi w:val="0"/>
        <w:rPr>
          <w:rFonts w:hint="eastAsia"/>
          <w:b/>
          <w:bCs/>
          <w:color w:val="auto"/>
          <w:sz w:val="32"/>
          <w:szCs w:val="32"/>
          <w:highlight w:val="none"/>
        </w:rPr>
      </w:pPr>
      <w:r>
        <w:rPr>
          <w:rFonts w:hint="eastAsia"/>
          <w:b/>
          <w:bCs/>
          <w:color w:val="auto"/>
          <w:sz w:val="32"/>
          <w:szCs w:val="32"/>
          <w:highlight w:val="none"/>
        </w:rPr>
        <w:t>1.绩效评价的目的</w:t>
      </w:r>
    </w:p>
    <w:p w14:paraId="7A918360">
      <w:pPr>
        <w:spacing w:line="600" w:lineRule="exact"/>
        <w:ind w:firstLine="640"/>
        <w:rPr>
          <w:color w:val="auto"/>
          <w:sz w:val="32"/>
          <w:szCs w:val="32"/>
          <w:highlight w:val="none"/>
        </w:rPr>
      </w:pPr>
      <w:r>
        <w:rPr>
          <w:rFonts w:hint="eastAsia" w:ascii="仿宋_GB2312" w:hAnsi="仿宋_GB2312" w:cs="仿宋_GB2312"/>
          <w:color w:val="auto"/>
          <w:sz w:val="32"/>
          <w:szCs w:val="32"/>
          <w:highlight w:val="none"/>
        </w:rPr>
        <w:t>本次</w:t>
      </w:r>
      <w:r>
        <w:rPr>
          <w:rFonts w:hint="eastAsia"/>
          <w:color w:val="auto"/>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137CE30A">
      <w:pPr>
        <w:bidi w:val="0"/>
        <w:rPr>
          <w:rFonts w:hint="eastAsia"/>
          <w:b/>
          <w:bCs/>
          <w:color w:val="auto"/>
          <w:sz w:val="32"/>
          <w:szCs w:val="32"/>
          <w:highlight w:val="none"/>
        </w:rPr>
      </w:pPr>
      <w:r>
        <w:rPr>
          <w:rFonts w:hint="eastAsia"/>
          <w:b/>
          <w:bCs/>
          <w:color w:val="auto"/>
          <w:sz w:val="32"/>
          <w:szCs w:val="32"/>
          <w:highlight w:val="none"/>
        </w:rPr>
        <w:t>2.绩效评价的对象和范围</w:t>
      </w:r>
    </w:p>
    <w:p w14:paraId="536FECE5">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本次绩效评价遵循财政部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lang w:eastAsia="zh-Hans"/>
        </w:rPr>
        <w:t>以及</w:t>
      </w:r>
      <w:r>
        <w:rPr>
          <w:rFonts w:hint="eastAsia" w:ascii="仿宋_GB2312" w:hAnsi="仿宋_GB2312" w:cs="仿宋_GB2312"/>
          <w:color w:val="auto"/>
          <w:sz w:val="32"/>
          <w:szCs w:val="32"/>
          <w:highlight w:val="none"/>
        </w:rPr>
        <w:t>自治区财政厅《自治区财政支出绩效评价管理暂行办法》（新财预〔2018〕189号）等文件规定，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年度我单位实施的</w:t>
      </w:r>
      <w:r>
        <w:rPr>
          <w:rFonts w:hint="eastAsia"/>
          <w:color w:val="auto"/>
          <w:sz w:val="32"/>
          <w:szCs w:val="32"/>
          <w:highlight w:val="none"/>
          <w:lang w:val="en-US" w:eastAsia="zh-CN"/>
        </w:rPr>
        <w:t>2023年</w:t>
      </w:r>
      <w:r>
        <w:rPr>
          <w:rFonts w:hint="eastAsia"/>
          <w:color w:val="auto"/>
          <w:sz w:val="32"/>
          <w:szCs w:val="32"/>
          <w:highlight w:val="none"/>
          <w:lang w:eastAsia="zh-CN"/>
        </w:rPr>
        <w:t>自治区地方公共卫生服务</w:t>
      </w:r>
      <w:r>
        <w:rPr>
          <w:rFonts w:hint="eastAsia" w:ascii="仿宋_GB2312"/>
          <w:color w:val="auto"/>
          <w:sz w:val="32"/>
          <w:szCs w:val="32"/>
          <w:highlight w:val="none"/>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7918EA24">
      <w:pPr>
        <w:pStyle w:val="4"/>
        <w:numPr>
          <w:ilvl w:val="0"/>
          <w:numId w:val="4"/>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评价工作简述</w:t>
      </w:r>
    </w:p>
    <w:p w14:paraId="5FA38104">
      <w:pPr>
        <w:bidi w:val="0"/>
        <w:rPr>
          <w:rFonts w:hint="eastAsia"/>
          <w:b/>
          <w:bCs/>
          <w:color w:val="auto"/>
          <w:sz w:val="32"/>
          <w:szCs w:val="32"/>
          <w:highlight w:val="none"/>
        </w:rPr>
      </w:pPr>
      <w:r>
        <w:rPr>
          <w:rFonts w:hint="eastAsia"/>
          <w:b/>
          <w:bCs/>
          <w:color w:val="auto"/>
          <w:sz w:val="32"/>
          <w:szCs w:val="32"/>
          <w:highlight w:val="none"/>
        </w:rPr>
        <w:t>1.绩效评价原则</w:t>
      </w:r>
    </w:p>
    <w:p w14:paraId="2D734B08">
      <w:pPr>
        <w:spacing w:line="600" w:lineRule="exact"/>
        <w:ind w:firstLine="640"/>
        <w:rPr>
          <w:color w:val="auto"/>
          <w:sz w:val="32"/>
          <w:szCs w:val="32"/>
          <w:highlight w:val="none"/>
        </w:rPr>
      </w:pPr>
      <w:r>
        <w:rPr>
          <w:rFonts w:hint="eastAsia"/>
          <w:color w:val="auto"/>
          <w:sz w:val="32"/>
          <w:szCs w:val="32"/>
          <w:highlight w:val="none"/>
        </w:rPr>
        <w:t>依据</w:t>
      </w:r>
      <w:r>
        <w:rPr>
          <w:rFonts w:hint="eastAsia" w:hAnsi="Arial" w:cs="宋体"/>
          <w:bCs/>
          <w:color w:val="auto"/>
          <w:sz w:val="32"/>
          <w:szCs w:val="32"/>
          <w:highlight w:val="none"/>
        </w:rPr>
        <w:t>《中华人民共和国预算法》、</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color w:val="auto"/>
          <w:sz w:val="32"/>
          <w:szCs w:val="32"/>
          <w:highlight w:val="none"/>
        </w:rPr>
        <w:t>等法规和政策文件要求，本次绩效评价秉承科学规范、公正公开、分级分类、绩效相关等原则，按照从投入、过程到产出效果和影响的绩效逻辑路径，结合</w:t>
      </w:r>
      <w:r>
        <w:rPr>
          <w:rFonts w:hint="eastAsia"/>
          <w:color w:val="auto"/>
          <w:sz w:val="32"/>
          <w:szCs w:val="32"/>
          <w:highlight w:val="none"/>
          <w:lang w:val="en-US" w:eastAsia="zh-CN"/>
        </w:rPr>
        <w:t>2023年</w:t>
      </w:r>
      <w:r>
        <w:rPr>
          <w:rFonts w:hint="eastAsia"/>
          <w:color w:val="auto"/>
          <w:sz w:val="32"/>
          <w:szCs w:val="32"/>
          <w:highlight w:val="none"/>
          <w:lang w:eastAsia="zh-CN"/>
        </w:rPr>
        <w:t>自治区地方公共卫生服务</w:t>
      </w:r>
      <w:r>
        <w:rPr>
          <w:rFonts w:hint="eastAsia"/>
          <w:color w:val="auto"/>
          <w:sz w:val="32"/>
          <w:szCs w:val="32"/>
          <w:highlight w:val="none"/>
        </w:rPr>
        <w:t>项目实际开展情况，运用定量和定性分析相结合的方法，总结经验做法，反思项目实施和管理中的问题，以切实提升财政资金管理的科学化、规范化和精细化水平。</w:t>
      </w:r>
    </w:p>
    <w:p w14:paraId="280B8782">
      <w:pPr>
        <w:spacing w:line="600" w:lineRule="exact"/>
        <w:ind w:firstLine="640"/>
        <w:rPr>
          <w:color w:val="auto"/>
          <w:sz w:val="32"/>
          <w:szCs w:val="32"/>
          <w:highlight w:val="none"/>
        </w:rPr>
      </w:pPr>
      <w:r>
        <w:rPr>
          <w:rFonts w:hint="eastAsia"/>
          <w:color w:val="auto"/>
          <w:sz w:val="32"/>
          <w:szCs w:val="32"/>
          <w:highlight w:val="none"/>
        </w:rPr>
        <w:t>根据以上原则，绩效评价遵循如下具体要求：</w:t>
      </w:r>
    </w:p>
    <w:p w14:paraId="00D7A12F">
      <w:pPr>
        <w:spacing w:line="600" w:lineRule="exact"/>
        <w:ind w:firstLine="640"/>
        <w:rPr>
          <w:color w:val="auto"/>
          <w:sz w:val="32"/>
          <w:szCs w:val="32"/>
          <w:highlight w:val="none"/>
        </w:rPr>
      </w:pPr>
      <w:r>
        <w:rPr>
          <w:rFonts w:hint="eastAsia" w:ascii="仿宋_GB2312"/>
          <w:color w:val="auto"/>
          <w:sz w:val="32"/>
          <w:szCs w:val="32"/>
          <w:highlight w:val="none"/>
        </w:rPr>
        <w:t>（1）</w:t>
      </w:r>
      <w:r>
        <w:rPr>
          <w:rFonts w:hint="eastAsia"/>
          <w:color w:val="auto"/>
          <w:sz w:val="32"/>
          <w:szCs w:val="32"/>
          <w:highlight w:val="none"/>
        </w:rPr>
        <w:t>在数据采集时，采取客观数据主管部门审查、社会中介组织复查与问卷调查相结合的形式，以保证各项指标的真实性。</w:t>
      </w:r>
    </w:p>
    <w:p w14:paraId="405E26C5">
      <w:pPr>
        <w:spacing w:line="600" w:lineRule="exact"/>
        <w:ind w:firstLine="640"/>
        <w:rPr>
          <w:rFonts w:ascii="仿宋_GB2312"/>
          <w:color w:val="auto"/>
          <w:sz w:val="32"/>
          <w:szCs w:val="32"/>
          <w:highlight w:val="none"/>
        </w:rPr>
      </w:pPr>
      <w:r>
        <w:rPr>
          <w:rFonts w:hint="eastAsia" w:ascii="仿宋_GB2312"/>
          <w:color w:val="auto"/>
          <w:sz w:val="32"/>
          <w:szCs w:val="32"/>
          <w:highlight w:val="none"/>
        </w:rPr>
        <w:t>（2）保证评价结果的真实性、公正性，提高评价报告的公信力。</w:t>
      </w:r>
    </w:p>
    <w:p w14:paraId="63B0D0D3">
      <w:pPr>
        <w:spacing w:line="600" w:lineRule="exact"/>
        <w:ind w:firstLine="640"/>
        <w:rPr>
          <w:color w:val="auto"/>
          <w:sz w:val="32"/>
          <w:szCs w:val="32"/>
          <w:highlight w:val="none"/>
        </w:rPr>
      </w:pPr>
      <w:r>
        <w:rPr>
          <w:rFonts w:hint="eastAsia" w:ascii="仿宋_GB2312"/>
          <w:color w:val="auto"/>
          <w:sz w:val="32"/>
          <w:szCs w:val="32"/>
          <w:highlight w:val="none"/>
        </w:rPr>
        <w:t>（3）</w:t>
      </w:r>
      <w:r>
        <w:rPr>
          <w:rFonts w:hint="eastAsia"/>
          <w:color w:val="auto"/>
          <w:sz w:val="32"/>
          <w:szCs w:val="32"/>
          <w:highlight w:val="none"/>
        </w:rPr>
        <w:t>绩效评价报告简明扼要，除对绩效评价的过程、结果描述外，还总结经验、指出问题，并就共性问题提出可操作性改进建议。</w:t>
      </w:r>
    </w:p>
    <w:p w14:paraId="740C070E">
      <w:pPr>
        <w:bidi w:val="0"/>
        <w:rPr>
          <w:rFonts w:hint="eastAsia"/>
          <w:b/>
          <w:bCs/>
          <w:color w:val="auto"/>
          <w:sz w:val="32"/>
          <w:szCs w:val="32"/>
          <w:highlight w:val="none"/>
        </w:rPr>
      </w:pPr>
      <w:bookmarkStart w:id="8" w:name="_Toc1913"/>
      <w:bookmarkStart w:id="9" w:name="_Toc26131"/>
      <w:bookmarkStart w:id="10" w:name="_Toc419984722"/>
      <w:bookmarkStart w:id="11" w:name="_Toc428278230"/>
      <w:r>
        <w:rPr>
          <w:rFonts w:hint="eastAsia"/>
          <w:b/>
          <w:bCs/>
          <w:color w:val="auto"/>
          <w:sz w:val="32"/>
          <w:szCs w:val="32"/>
          <w:highlight w:val="none"/>
        </w:rPr>
        <w:t>2.绩效评价指标体系及绩效评价</w:t>
      </w:r>
      <w:bookmarkEnd w:id="8"/>
      <w:bookmarkEnd w:id="9"/>
      <w:bookmarkEnd w:id="10"/>
      <w:bookmarkEnd w:id="11"/>
      <w:r>
        <w:rPr>
          <w:rFonts w:hint="eastAsia"/>
          <w:b/>
          <w:bCs/>
          <w:color w:val="auto"/>
          <w:sz w:val="32"/>
          <w:szCs w:val="32"/>
          <w:highlight w:val="none"/>
        </w:rPr>
        <w:t>标准</w:t>
      </w:r>
    </w:p>
    <w:p w14:paraId="20BEB6A6">
      <w:pPr>
        <w:spacing w:line="600" w:lineRule="exact"/>
        <w:ind w:firstLine="640"/>
        <w:rPr>
          <w:rFonts w:ascii="仿宋_GB2312"/>
          <w:color w:val="auto"/>
          <w:sz w:val="32"/>
          <w:szCs w:val="32"/>
          <w:highlight w:val="none"/>
        </w:rPr>
      </w:pPr>
      <w:r>
        <w:rPr>
          <w:rFonts w:hint="eastAsia" w:ascii="仿宋_GB2312"/>
          <w:color w:val="auto"/>
          <w:sz w:val="32"/>
          <w:szCs w:val="32"/>
          <w:highlight w:val="none"/>
        </w:rPr>
        <w:t>绩效评价指标体系根据财政部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rPr>
        <w:t>自治区财政厅《自治区财政支出绩效评价管理暂行办法》（新财预〔2018〕189号）</w:t>
      </w:r>
      <w:r>
        <w:rPr>
          <w:rFonts w:hint="eastAsia" w:ascii="仿宋_GB2312"/>
          <w:color w:val="auto"/>
          <w:sz w:val="32"/>
          <w:szCs w:val="32"/>
          <w:highlight w:val="none"/>
        </w:rPr>
        <w:t>等文件要求，结合本项目特点，在与专家组充分协商的基础上，评价工作组细化了该项目的绩效评价指标体系（详见附表1）：</w:t>
      </w:r>
    </w:p>
    <w:p w14:paraId="17A54B97">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一级指标为：决策、过程、产出、</w:t>
      </w:r>
      <w:r>
        <w:rPr>
          <w:rFonts w:hint="eastAsia" w:ascii="仿宋_GB2312"/>
          <w:color w:val="auto"/>
          <w:sz w:val="32"/>
          <w:szCs w:val="32"/>
          <w:highlight w:val="none"/>
          <w:lang w:val="en-US" w:eastAsia="zh-CN"/>
        </w:rPr>
        <w:t>成本、</w:t>
      </w:r>
      <w:r>
        <w:rPr>
          <w:rFonts w:hint="eastAsia" w:ascii="仿宋_GB2312"/>
          <w:color w:val="auto"/>
          <w:sz w:val="32"/>
          <w:szCs w:val="32"/>
          <w:highlight w:val="none"/>
        </w:rPr>
        <w:t>效益。</w:t>
      </w:r>
    </w:p>
    <w:p w14:paraId="2C758DF0">
      <w:pPr>
        <w:spacing w:line="600" w:lineRule="exact"/>
        <w:ind w:firstLine="640"/>
        <w:rPr>
          <w:rFonts w:ascii="仿宋_GB2312"/>
          <w:color w:val="auto"/>
          <w:sz w:val="32"/>
          <w:szCs w:val="32"/>
          <w:highlight w:val="none"/>
        </w:rPr>
      </w:pPr>
      <w:r>
        <w:rPr>
          <w:rFonts w:hint="eastAsia" w:ascii="仿宋_GB2312"/>
          <w:color w:val="auto"/>
          <w:sz w:val="32"/>
          <w:szCs w:val="32"/>
          <w:highlight w:val="none"/>
        </w:rPr>
        <w:t>二级指标为：项目立项、绩效目标、资金投入、资金管理、组织实施、产出数量、产出质量、产出时效、</w:t>
      </w:r>
      <w:r>
        <w:rPr>
          <w:rFonts w:hint="eastAsia" w:ascii="仿宋_GB2312"/>
          <w:color w:val="auto"/>
          <w:sz w:val="32"/>
          <w:szCs w:val="32"/>
          <w:highlight w:val="none"/>
          <w:lang w:val="en-US" w:eastAsia="zh-CN"/>
        </w:rPr>
        <w:t>经济</w:t>
      </w:r>
      <w:r>
        <w:rPr>
          <w:rFonts w:hint="eastAsia" w:ascii="仿宋_GB2312"/>
          <w:color w:val="auto"/>
          <w:sz w:val="32"/>
          <w:szCs w:val="32"/>
          <w:highlight w:val="none"/>
        </w:rPr>
        <w:t>成本、项目效益。</w:t>
      </w:r>
    </w:p>
    <w:p w14:paraId="5A134EB8">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60AEF6D6">
      <w:pPr>
        <w:bidi w:val="0"/>
        <w:rPr>
          <w:rFonts w:hint="eastAsia"/>
          <w:b/>
          <w:bCs/>
          <w:color w:val="auto"/>
          <w:sz w:val="32"/>
          <w:szCs w:val="32"/>
          <w:highlight w:val="none"/>
        </w:rPr>
      </w:pPr>
      <w:r>
        <w:rPr>
          <w:rFonts w:hint="eastAsia"/>
          <w:b/>
          <w:bCs/>
          <w:color w:val="auto"/>
          <w:sz w:val="32"/>
          <w:szCs w:val="32"/>
          <w:highlight w:val="none"/>
        </w:rPr>
        <w:t>3.评价方法</w:t>
      </w:r>
    </w:p>
    <w:p w14:paraId="234BFF63">
      <w:pPr>
        <w:pStyle w:val="23"/>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本次评价采取定量与定性评价相结合的方式，采用比较法、公众评判法对</w:t>
      </w:r>
      <w:r>
        <w:rPr>
          <w:rFonts w:hint="eastAsia"/>
          <w:color w:val="auto"/>
          <w:sz w:val="32"/>
          <w:szCs w:val="32"/>
          <w:highlight w:val="none"/>
        </w:rPr>
        <w:t>项目实施过程以及预期绩效目标完成情况进行全面、系统的评价，</w:t>
      </w:r>
      <w:r>
        <w:rPr>
          <w:rFonts w:hint="eastAsia" w:ascii="仿宋_GB2312" w:hAnsi="仿宋_GB2312" w:cs="仿宋_GB2312"/>
          <w:bCs/>
          <w:color w:val="auto"/>
          <w:sz w:val="32"/>
          <w:szCs w:val="32"/>
          <w:highlight w:val="none"/>
        </w:rPr>
        <w:t>总分由各项指标得分汇总形成。</w:t>
      </w:r>
    </w:p>
    <w:p w14:paraId="08450E53">
      <w:pPr>
        <w:pStyle w:val="23"/>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52BF803A">
      <w:pPr>
        <w:pStyle w:val="23"/>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38B375A7">
      <w:pPr>
        <w:bidi w:val="0"/>
        <w:rPr>
          <w:rFonts w:hint="eastAsia"/>
          <w:b/>
          <w:bCs/>
          <w:color w:val="auto"/>
          <w:sz w:val="32"/>
          <w:szCs w:val="32"/>
          <w:highlight w:val="none"/>
        </w:rPr>
      </w:pPr>
      <w:r>
        <w:rPr>
          <w:rFonts w:hint="eastAsia"/>
          <w:b/>
          <w:bCs/>
          <w:color w:val="auto"/>
          <w:sz w:val="32"/>
          <w:szCs w:val="32"/>
          <w:highlight w:val="none"/>
        </w:rPr>
        <w:t>4.评价标准</w:t>
      </w:r>
    </w:p>
    <w:p w14:paraId="51DD419F">
      <w:pPr>
        <w:spacing w:line="600" w:lineRule="exact"/>
        <w:ind w:firstLine="640"/>
        <w:rPr>
          <w:color w:val="auto"/>
          <w:sz w:val="32"/>
          <w:szCs w:val="32"/>
          <w:highlight w:val="none"/>
        </w:rPr>
      </w:pPr>
      <w:r>
        <w:rPr>
          <w:rFonts w:hint="eastAsia" w:ascii="仿宋_GB2312" w:hAnsi="仿宋_GB2312" w:cs="仿宋_GB2312"/>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DECA9C6">
      <w:pPr>
        <w:pStyle w:val="4"/>
        <w:spacing w:line="600" w:lineRule="exact"/>
        <w:ind w:left="420" w:firstLine="0" w:firstLineChars="0"/>
        <w:rPr>
          <w:color w:val="auto"/>
          <w:szCs w:val="32"/>
          <w:highlight w:val="none"/>
        </w:rPr>
      </w:pPr>
      <w:r>
        <w:rPr>
          <w:rFonts w:hint="eastAsia"/>
          <w:color w:val="auto"/>
          <w:szCs w:val="32"/>
          <w:highlight w:val="none"/>
        </w:rPr>
        <w:t>（三）绩效评价工作过程</w:t>
      </w:r>
    </w:p>
    <w:p w14:paraId="752DEDD6">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第一阶段：前期准备。</w:t>
      </w:r>
    </w:p>
    <w:p w14:paraId="7B22C74E">
      <w:pPr>
        <w:pStyle w:val="22"/>
        <w:spacing w:line="600" w:lineRule="exact"/>
        <w:ind w:firstLine="640"/>
        <w:rPr>
          <w:rFonts w:hint="eastAsia" w:ascii="仿宋_GB2312" w:hAnsi="仿宋_GB2312" w:cs="仿宋_GB2312"/>
          <w:color w:val="auto"/>
          <w:sz w:val="32"/>
          <w:szCs w:val="32"/>
          <w:highlight w:val="none"/>
        </w:rPr>
      </w:pPr>
      <w:r>
        <w:rPr>
          <w:rFonts w:hint="eastAsia" w:ascii="仿宋_GB2312" w:hAnsi="仿宋" w:cs="仿宋"/>
          <w:color w:val="auto"/>
          <w:sz w:val="32"/>
          <w:szCs w:val="32"/>
          <w:highlight w:val="none"/>
          <w:lang w:bidi="ar"/>
        </w:rPr>
        <w:t>我单位绩效评价人员</w:t>
      </w:r>
      <w:r>
        <w:rPr>
          <w:rFonts w:hint="eastAsia" w:ascii="仿宋_GB2312" w:hAnsi="仿宋" w:cs="仿宋"/>
          <w:color w:val="auto"/>
          <w:spacing w:val="-4"/>
          <w:sz w:val="32"/>
          <w:szCs w:val="32"/>
          <w:highlight w:val="none"/>
        </w:rPr>
        <w:t>根据《项目支出绩效评价管理办法》（财预</w:t>
      </w:r>
      <w:r>
        <w:rPr>
          <w:rFonts w:hint="eastAsia" w:ascii="仿宋_GB2312" w:hAnsi="仿宋" w:cs="仿宋"/>
          <w:color w:val="auto"/>
          <w:sz w:val="32"/>
          <w:szCs w:val="32"/>
          <w:highlight w:val="none"/>
        </w:rPr>
        <w:t>〔2020〕</w:t>
      </w:r>
      <w:r>
        <w:rPr>
          <w:rFonts w:hint="eastAsia" w:ascii="仿宋_GB2312" w:hAnsi="仿宋" w:cs="仿宋"/>
          <w:color w:val="auto"/>
          <w:spacing w:val="-4"/>
          <w:sz w:val="32"/>
          <w:szCs w:val="32"/>
          <w:highlight w:val="none"/>
        </w:rPr>
        <w:t>10号）文件精神</w:t>
      </w:r>
      <w:r>
        <w:rPr>
          <w:rFonts w:hint="eastAsia" w:ascii="仿宋_GB2312" w:hAnsi="仿宋_GB2312" w:cs="仿宋_GB2312"/>
          <w:color w:val="auto"/>
          <w:sz w:val="32"/>
          <w:szCs w:val="32"/>
          <w:highlight w:val="none"/>
        </w:rPr>
        <w:t>认真学习相关要求与规定，成立绩效评价工作组，作为绩效评价工作具体实施机构。成员构成如下：</w:t>
      </w:r>
    </w:p>
    <w:p w14:paraId="6EA8E7DA">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蒋涛</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14:paraId="501A78CA">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吴江平</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14:paraId="0F11F517">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程冬玲</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任评价组成员，绩效评价工作职责为做好项目支出绩效评价工作的沟通协调工作，对项目实施情况进行实地调查，编写项目支出绩效评价报告。</w:t>
      </w:r>
    </w:p>
    <w:p w14:paraId="46806E1B">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第二阶段：组织实施。</w:t>
      </w:r>
    </w:p>
    <w:p w14:paraId="19E10C6B">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经评价组通过实地调研、查阅资料等方式，采用综合分析法对项目的决策、管理、绩效进行的综合评价分析。</w:t>
      </w:r>
    </w:p>
    <w:p w14:paraId="1A6F50B3">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第三阶段：分析评价。</w:t>
      </w:r>
    </w:p>
    <w:p w14:paraId="37B7AC3D">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首先按照指标体系进行定量、定性分析。其次开展量化打分、综合评价工作，形成初步评价结论。最后归纳整体项目情况与存在问题，撰写部门绩效评价报告。</w:t>
      </w:r>
    </w:p>
    <w:p w14:paraId="02FC3096">
      <w:pPr>
        <w:pStyle w:val="22"/>
        <w:spacing w:line="600" w:lineRule="exact"/>
        <w:ind w:firstLine="640"/>
        <w:rPr>
          <w:rFonts w:ascii="仿宋_GB2312" w:hAnsi="仿宋_GB2312" w:cs="仿宋_GB2312"/>
          <w:color w:val="auto"/>
          <w:sz w:val="32"/>
          <w:szCs w:val="32"/>
          <w:highlight w:val="none"/>
        </w:rPr>
      </w:pPr>
      <w:bookmarkStart w:id="12" w:name="_Toc2618"/>
      <w:r>
        <w:rPr>
          <w:rFonts w:hint="eastAsia" w:ascii="仿宋_GB2312" w:hAnsi="仿宋_GB2312" w:cs="仿宋_GB2312"/>
          <w:color w:val="auto"/>
          <w:sz w:val="32"/>
          <w:szCs w:val="32"/>
          <w:highlight w:val="none"/>
        </w:rPr>
        <w:t>第四阶段：撰写与提交评价报告</w:t>
      </w:r>
      <w:bookmarkEnd w:id="12"/>
    </w:p>
    <w:p w14:paraId="0886F282">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项目撰写绩效评价报告，按照财政局大平台绩效系统中统一格式和文本框架撰写绩效评价报告。</w:t>
      </w:r>
    </w:p>
    <w:p w14:paraId="6E833B6F">
      <w:pPr>
        <w:pStyle w:val="22"/>
        <w:spacing w:line="600" w:lineRule="exact"/>
        <w:ind w:firstLine="640"/>
        <w:rPr>
          <w:rFonts w:ascii="仿宋_GB2312" w:hAnsi="仿宋_GB2312" w:cs="仿宋_GB2312"/>
          <w:color w:val="auto"/>
          <w:sz w:val="32"/>
          <w:szCs w:val="32"/>
          <w:highlight w:val="none"/>
        </w:rPr>
      </w:pPr>
      <w:bookmarkStart w:id="13" w:name="_Toc5055"/>
      <w:r>
        <w:rPr>
          <w:rFonts w:hint="eastAsia" w:ascii="仿宋_GB2312" w:hAnsi="仿宋_GB2312" w:cs="仿宋_GB2312"/>
          <w:color w:val="auto"/>
          <w:sz w:val="32"/>
          <w:szCs w:val="32"/>
          <w:highlight w:val="none"/>
        </w:rPr>
        <w:t>第五阶段：归集档案</w:t>
      </w:r>
      <w:bookmarkEnd w:id="13"/>
    </w:p>
    <w:p w14:paraId="7467F6E2">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建立和落实档案管理制度，将项目相关资料存档，包括但不限于：评价项目基本情况和相关文件、评价实施方案、项目支付资料等相关档案。</w:t>
      </w:r>
    </w:p>
    <w:p w14:paraId="25AE40CB">
      <w:pPr>
        <w:pStyle w:val="3"/>
        <w:numPr>
          <w:ilvl w:val="0"/>
          <w:numId w:val="5"/>
        </w:numPr>
        <w:spacing w:line="600" w:lineRule="exact"/>
        <w:ind w:firstLine="640"/>
        <w:rPr>
          <w:color w:val="auto"/>
          <w:szCs w:val="32"/>
          <w:highlight w:val="none"/>
        </w:rPr>
      </w:pPr>
      <w:r>
        <w:rPr>
          <w:rFonts w:hint="eastAsia"/>
          <w:color w:val="auto"/>
          <w:szCs w:val="32"/>
          <w:highlight w:val="none"/>
        </w:rPr>
        <w:t>综合评价情况及评价结论</w:t>
      </w:r>
    </w:p>
    <w:p w14:paraId="0D1EB26A">
      <w:pPr>
        <w:pStyle w:val="24"/>
        <w:spacing w:before="0" w:after="0" w:line="600" w:lineRule="exact"/>
        <w:ind w:left="560"/>
        <w:rPr>
          <w:rFonts w:ascii="仿宋_GB2312" w:hAnsi="仿宋_GB2312" w:cs="仿宋_GB2312"/>
          <w:color w:val="auto"/>
          <w:sz w:val="32"/>
          <w:highlight w:val="none"/>
        </w:rPr>
      </w:pPr>
      <w:bookmarkStart w:id="14" w:name="_Toc68364665"/>
      <w:r>
        <w:rPr>
          <w:rFonts w:hint="eastAsia" w:ascii="仿宋_GB2312" w:hAnsi="仿宋_GB2312" w:cs="仿宋_GB2312"/>
          <w:color w:val="auto"/>
          <w:sz w:val="32"/>
          <w:highlight w:val="none"/>
        </w:rPr>
        <w:t>（一）综合评价情况</w:t>
      </w:r>
      <w:bookmarkEnd w:id="14"/>
    </w:p>
    <w:p w14:paraId="05F230FB">
      <w:pPr>
        <w:spacing w:line="600" w:lineRule="exact"/>
        <w:ind w:firstLine="640"/>
        <w:rPr>
          <w:rFonts w:ascii="仿宋_GB2312"/>
          <w:color w:val="auto"/>
          <w:sz w:val="32"/>
          <w:szCs w:val="32"/>
          <w:highlight w:val="none"/>
        </w:rPr>
      </w:pPr>
      <w:r>
        <w:rPr>
          <w:rFonts w:hint="eastAsia" w:ascii="仿宋_GB2312"/>
          <w:color w:val="auto"/>
          <w:sz w:val="32"/>
          <w:szCs w:val="32"/>
          <w:highlight w:val="none"/>
        </w:rPr>
        <w:t>通</w:t>
      </w:r>
      <w:r>
        <w:rPr>
          <w:rFonts w:hint="eastAsia" w:ascii="仿宋_GB2312" w:hAnsi="仿宋_GB2312" w:eastAsia="仿宋_GB2312" w:cs="仿宋_GB2312"/>
          <w:i w:val="0"/>
          <w:iCs w:val="0"/>
          <w:caps w:val="0"/>
          <w:color w:val="auto"/>
          <w:spacing w:val="0"/>
          <w:kern w:val="0"/>
          <w:sz w:val="32"/>
          <w:szCs w:val="32"/>
          <w:u w:val="none"/>
          <w:lang w:val="en-US" w:eastAsia="zh-CN" w:bidi="ar"/>
        </w:rPr>
        <w:t>过塔地财建[2023]39号2023年积极应对人口老龄化工程和托育建设中央基建投资项目的实施</w:t>
      </w:r>
      <w:r>
        <w:rPr>
          <w:rFonts w:hint="eastAsia" w:ascii="仿宋_GB2312"/>
          <w:color w:val="auto"/>
          <w:sz w:val="32"/>
          <w:szCs w:val="32"/>
          <w:highlight w:val="none"/>
        </w:rPr>
        <w:t>，</w:t>
      </w:r>
      <w:r>
        <w:rPr>
          <w:rFonts w:hint="eastAsia" w:ascii="仿宋_GB2312" w:hAnsi="仿宋_GB2312" w:eastAsia="仿宋_GB2312" w:cs="仿宋_GB2312"/>
          <w:color w:val="auto"/>
          <w:sz w:val="32"/>
          <w:szCs w:val="32"/>
          <w:lang w:val="en-US" w:eastAsia="zh-CN"/>
        </w:rPr>
        <w:t>沙湾市托育服务需求</w:t>
      </w:r>
      <w:r>
        <w:rPr>
          <w:rFonts w:hint="eastAsia" w:ascii="仿宋_GB2312" w:hAnsi="仿宋_GB2312" w:eastAsia="仿宋_GB2312" w:cs="仿宋_GB2312"/>
          <w:i w:val="0"/>
          <w:iCs w:val="0"/>
          <w:caps w:val="0"/>
          <w:color w:val="auto"/>
          <w:spacing w:val="0"/>
          <w:kern w:val="0"/>
          <w:sz w:val="32"/>
          <w:szCs w:val="32"/>
          <w:u w:val="none"/>
          <w:lang w:val="en-US" w:eastAsia="zh-CN" w:bidi="ar"/>
        </w:rPr>
        <w:t>呈现出良好的发展态势，大部分家庭入托需求强烈，大力推动专业性</w:t>
      </w:r>
      <w:r>
        <w:rPr>
          <w:rFonts w:hint="eastAsia" w:ascii="仿宋_GB2312" w:hAnsi="仿宋_GB2312" w:eastAsia="仿宋_GB2312" w:cs="仿宋_GB2312"/>
          <w:i w:val="0"/>
          <w:iCs w:val="0"/>
          <w:caps w:val="0"/>
          <w:color w:val="auto"/>
          <w:spacing w:val="0"/>
          <w:kern w:val="0"/>
          <w:sz w:val="32"/>
          <w:szCs w:val="32"/>
          <w:u w:val="none"/>
          <w:lang w:val="en-US" w:eastAsia="zh-CN" w:bidi="ar"/>
        </w:rPr>
        <w:t>较强的托</w:t>
      </w:r>
      <w:r>
        <w:rPr>
          <w:rFonts w:hint="eastAsia" w:ascii="仿宋_GB2312" w:hAnsi="仿宋_GB2312" w:eastAsia="仿宋_GB2312" w:cs="仿宋_GB2312"/>
          <w:i w:val="0"/>
          <w:iCs w:val="0"/>
          <w:caps w:val="0"/>
          <w:color w:val="auto"/>
          <w:spacing w:val="0"/>
          <w:kern w:val="0"/>
          <w:sz w:val="32"/>
          <w:szCs w:val="32"/>
          <w:u w:val="none"/>
          <w:lang w:val="en-US" w:eastAsia="zh-CN" w:bidi="ar"/>
        </w:rPr>
        <w:t>育机构发展是必然趋势，标准化的托育机构建设搭载专业的师资力量，能够</w:t>
      </w:r>
      <w:r>
        <w:rPr>
          <w:rFonts w:hint="eastAsia" w:ascii="仿宋_GB2312" w:hAnsi="仿宋_GB2312" w:eastAsia="仿宋_GB2312" w:cs="仿宋_GB2312"/>
          <w:color w:val="auto"/>
          <w:sz w:val="32"/>
          <w:szCs w:val="32"/>
          <w:lang w:eastAsia="zh-CN"/>
        </w:rPr>
        <w:t>确保托育</w:t>
      </w:r>
      <w:r>
        <w:rPr>
          <w:rFonts w:hint="eastAsia" w:ascii="仿宋_GB2312" w:hAnsi="仿宋_GB2312" w:eastAsia="仿宋_GB2312" w:cs="仿宋_GB2312"/>
          <w:color w:val="auto"/>
          <w:sz w:val="32"/>
          <w:szCs w:val="32"/>
          <w:lang w:val="en-US" w:eastAsia="zh-CN"/>
        </w:rPr>
        <w:t>服务</w:t>
      </w:r>
      <w:r>
        <w:rPr>
          <w:rFonts w:hint="eastAsia" w:ascii="仿宋_GB2312" w:hAnsi="仿宋_GB2312" w:eastAsia="仿宋_GB2312" w:cs="仿宋_GB2312"/>
          <w:color w:val="auto"/>
          <w:sz w:val="32"/>
          <w:szCs w:val="32"/>
          <w:lang w:eastAsia="zh-CN"/>
        </w:rPr>
        <w:t>的高标准、高质量的运行，满足社会和家长的需求，</w:t>
      </w:r>
      <w:r>
        <w:rPr>
          <w:rFonts w:hint="eastAsia" w:ascii="仿宋_GB2312" w:hAnsi="仿宋_GB2312" w:eastAsia="仿宋_GB2312" w:cs="仿宋_GB2312"/>
          <w:color w:val="auto"/>
          <w:sz w:val="32"/>
          <w:szCs w:val="32"/>
          <w:lang w:val="en-US" w:eastAsia="zh-CN"/>
        </w:rPr>
        <w:t>增强了家长对托育机构的信任度、认可度并</w:t>
      </w:r>
      <w:r>
        <w:rPr>
          <w:rFonts w:hint="eastAsia" w:ascii="仿宋_GB2312" w:hAnsi="仿宋_GB2312" w:eastAsia="仿宋_GB2312" w:cs="仿宋_GB2312"/>
          <w:color w:val="auto"/>
          <w:sz w:val="32"/>
          <w:szCs w:val="32"/>
          <w:lang w:val="en-US" w:eastAsia="zh-CN"/>
        </w:rPr>
        <w:t>提高实际的入托率</w:t>
      </w:r>
      <w:r>
        <w:rPr>
          <w:rFonts w:hint="eastAsia" w:ascii="仿宋_GB2312" w:hAnsi="仿宋_GB2312" w:eastAsia="仿宋_GB2312" w:cs="仿宋_GB2312"/>
          <w:color w:val="auto"/>
          <w:sz w:val="32"/>
          <w:szCs w:val="32"/>
          <w:lang w:val="en-US" w:eastAsia="zh-CN"/>
        </w:rPr>
        <w:t>。</w:t>
      </w:r>
      <w:r>
        <w:rPr>
          <w:rFonts w:hint="eastAsia" w:ascii="仿宋_GB2312"/>
          <w:color w:val="auto"/>
          <w:sz w:val="32"/>
          <w:szCs w:val="32"/>
          <w:highlight w:val="none"/>
        </w:rPr>
        <w:t>该项目预算执行率达</w:t>
      </w:r>
      <w:r>
        <w:rPr>
          <w:rFonts w:hint="eastAsia" w:ascii="仿宋_GB2312"/>
          <w:color w:val="auto"/>
          <w:sz w:val="32"/>
          <w:szCs w:val="32"/>
          <w:highlight w:val="none"/>
          <w:lang w:val="en-US" w:eastAsia="zh-CN"/>
        </w:rPr>
        <w:t>100</w:t>
      </w:r>
      <w:r>
        <w:rPr>
          <w:rFonts w:ascii="仿宋_GB2312"/>
          <w:color w:val="auto"/>
          <w:sz w:val="32"/>
          <w:szCs w:val="32"/>
          <w:highlight w:val="none"/>
        </w:rPr>
        <w:t>%</w:t>
      </w:r>
      <w:r>
        <w:rPr>
          <w:rFonts w:hint="eastAsia" w:ascii="仿宋_GB2312"/>
          <w:color w:val="auto"/>
          <w:sz w:val="32"/>
          <w:szCs w:val="32"/>
          <w:highlight w:val="none"/>
        </w:rPr>
        <w:t>，项目预期绩效目标及各项具体指标均已全部达成。</w:t>
      </w:r>
    </w:p>
    <w:p w14:paraId="6BD5B546">
      <w:pPr>
        <w:pStyle w:val="24"/>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14:paraId="7FD794AE">
      <w:pPr>
        <w:spacing w:line="600" w:lineRule="exact"/>
        <w:ind w:firstLine="640"/>
        <w:rPr>
          <w:rFonts w:ascii="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Fonts w:hint="eastAsia" w:ascii="仿宋_GB2312" w:hAnsi="仿宋_GB2312" w:cs="仿宋_GB2312"/>
          <w:bCs/>
          <w:color w:val="auto"/>
          <w:sz w:val="32"/>
          <w:szCs w:val="32"/>
          <w:highlight w:val="none"/>
          <w:lang w:val="en-US" w:eastAsia="zh-CN"/>
        </w:rPr>
        <w:t>塔地财建[2023]39号2023年积极应对人口老龄化工程和托育建设中央基建投资项目</w:t>
      </w:r>
      <w:r>
        <w:rPr>
          <w:rFonts w:hint="eastAsia" w:ascii="仿宋_GB2312" w:hAnsi="仿宋_GB2312" w:cs="仿宋_GB2312"/>
          <w:bCs/>
          <w:color w:val="auto"/>
          <w:sz w:val="32"/>
          <w:szCs w:val="32"/>
          <w:highlight w:val="none"/>
        </w:rPr>
        <w:t>的绩效目标和各项具体绩效指标实现情况进行了客观</w:t>
      </w:r>
      <w:r>
        <w:rPr>
          <w:rFonts w:hint="eastAsia" w:ascii="仿宋_GB2312"/>
          <w:color w:val="auto"/>
          <w:sz w:val="32"/>
          <w:szCs w:val="32"/>
          <w:highlight w:val="none"/>
        </w:rPr>
        <w:t>评价，最终评分为</w:t>
      </w:r>
      <w:r>
        <w:rPr>
          <w:rFonts w:hint="eastAsia" w:ascii="仿宋_GB2312"/>
          <w:color w:val="auto"/>
          <w:sz w:val="32"/>
          <w:szCs w:val="32"/>
          <w:highlight w:val="none"/>
          <w:lang w:val="en-US" w:eastAsia="zh-CN"/>
        </w:rPr>
        <w:t>98.74</w:t>
      </w:r>
      <w:r>
        <w:rPr>
          <w:rFonts w:hint="eastAsia" w:ascii="仿宋_GB2312"/>
          <w:color w:val="auto"/>
          <w:sz w:val="32"/>
          <w:szCs w:val="32"/>
          <w:highlight w:val="none"/>
        </w:rPr>
        <w:t>分。</w:t>
      </w:r>
      <w:r>
        <w:rPr>
          <w:rFonts w:hint="eastAsia"/>
          <w:color w:val="auto"/>
          <w:sz w:val="30"/>
          <w:szCs w:val="30"/>
          <w:highlight w:val="none"/>
        </w:rPr>
        <w:t>绩效评级为</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val="en-US" w:eastAsia="zh-CN"/>
        </w:rPr>
        <w:t>优</w:t>
      </w:r>
      <w:r>
        <w:rPr>
          <w:rFonts w:hint="eastAsia" w:ascii="仿宋_GB2312" w:cs="仿宋_GB2312"/>
          <w:color w:val="auto"/>
          <w:sz w:val="32"/>
          <w:szCs w:val="32"/>
          <w:highlight w:val="none"/>
        </w:rPr>
        <w:t>”，具体得分情况为：项目决策</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分、项目过程</w:t>
      </w:r>
      <w:r>
        <w:rPr>
          <w:rFonts w:hint="eastAsia" w:ascii="仿宋_GB2312"/>
          <w:color w:val="auto"/>
          <w:sz w:val="32"/>
          <w:szCs w:val="32"/>
          <w:highlight w:val="none"/>
          <w:lang w:val="en-US" w:eastAsia="zh-CN"/>
        </w:rPr>
        <w:t>14.4</w:t>
      </w:r>
      <w:r>
        <w:rPr>
          <w:rFonts w:hint="eastAsia" w:ascii="仿宋_GB2312" w:cs="仿宋_GB2312"/>
          <w:color w:val="auto"/>
          <w:sz w:val="32"/>
          <w:szCs w:val="32"/>
          <w:highlight w:val="none"/>
        </w:rPr>
        <w:t>分、项目产出</w:t>
      </w:r>
      <w:r>
        <w:rPr>
          <w:rFonts w:hint="eastAsia" w:ascii="仿宋_GB2312" w:cs="仿宋_GB2312"/>
          <w:color w:val="auto"/>
          <w:sz w:val="32"/>
          <w:szCs w:val="32"/>
          <w:highlight w:val="none"/>
          <w:lang w:val="en-US" w:eastAsia="zh-CN"/>
        </w:rPr>
        <w:t>39.34</w:t>
      </w:r>
      <w:r>
        <w:rPr>
          <w:rFonts w:hint="eastAsia" w:ascii="仿宋_GB2312" w:cs="仿宋_GB2312"/>
          <w:color w:val="auto"/>
          <w:sz w:val="32"/>
          <w:szCs w:val="32"/>
          <w:highlight w:val="none"/>
        </w:rPr>
        <w:t>分、项目效益</w:t>
      </w:r>
      <w:r>
        <w:rPr>
          <w:rFonts w:hint="eastAsia" w:ascii="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lang w:val="en-US" w:eastAsia="zh-CN"/>
        </w:rPr>
        <w:t>项目满意度10分</w:t>
      </w:r>
      <w:r>
        <w:rPr>
          <w:rFonts w:hint="eastAsia" w:ascii="仿宋_GB2312" w:cs="仿宋_GB2312"/>
          <w:color w:val="auto"/>
          <w:sz w:val="32"/>
          <w:szCs w:val="32"/>
          <w:highlight w:val="none"/>
        </w:rPr>
        <w:t>。</w:t>
      </w:r>
    </w:p>
    <w:p w14:paraId="6A347636">
      <w:pPr>
        <w:pStyle w:val="3"/>
        <w:spacing w:line="600" w:lineRule="exact"/>
        <w:ind w:firstLine="640"/>
        <w:rPr>
          <w:color w:val="auto"/>
          <w:szCs w:val="32"/>
          <w:highlight w:val="none"/>
        </w:rPr>
      </w:pPr>
      <w:r>
        <w:rPr>
          <w:rFonts w:hint="eastAsia"/>
          <w:color w:val="auto"/>
          <w:szCs w:val="32"/>
          <w:highlight w:val="none"/>
        </w:rPr>
        <w:t>四、绩效评价指标分析</w:t>
      </w:r>
    </w:p>
    <w:p w14:paraId="3B45DE25">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（一）项目决策情况</w:t>
      </w:r>
    </w:p>
    <w:p w14:paraId="778CA1A2">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rPr>
        <w:t>项目决策类指标</w:t>
      </w:r>
      <w:r>
        <w:rPr>
          <w:rFonts w:hint="eastAsia" w:ascii="仿宋_GB2312" w:hAnsi="仿宋_GB2312" w:cs="仿宋_GB2312"/>
          <w:color w:val="auto"/>
          <w:sz w:val="32"/>
          <w:szCs w:val="32"/>
          <w:highlight w:val="none"/>
          <w:lang w:eastAsia="zh-Hans"/>
        </w:rPr>
        <w:t>从</w:t>
      </w:r>
      <w:r>
        <w:rPr>
          <w:rFonts w:hint="eastAsia" w:ascii="仿宋_GB2312" w:hAnsi="仿宋_GB2312" w:cs="仿宋_GB2312"/>
          <w:color w:val="auto"/>
          <w:sz w:val="32"/>
          <w:szCs w:val="32"/>
          <w:highlight w:val="none"/>
        </w:rPr>
        <w:t>项目立项、绩效目标和资金投入</w:t>
      </w:r>
      <w:r>
        <w:rPr>
          <w:rFonts w:hint="eastAsia" w:ascii="仿宋_GB2312" w:hAnsi="仿宋_GB2312" w:cs="仿宋_GB2312"/>
          <w:color w:val="auto"/>
          <w:sz w:val="32"/>
          <w:szCs w:val="32"/>
          <w:highlight w:val="none"/>
          <w:lang w:eastAsia="zh-Hans"/>
        </w:rPr>
        <w:t>三个</w:t>
      </w:r>
      <w:r>
        <w:rPr>
          <w:rFonts w:hint="eastAsia" w:ascii="仿宋_GB2312" w:hAnsi="仿宋_GB2312" w:cs="仿宋_GB2312"/>
          <w:color w:val="auto"/>
          <w:sz w:val="32"/>
          <w:szCs w:val="32"/>
          <w:highlight w:val="none"/>
        </w:rPr>
        <w:t>方面</w:t>
      </w:r>
      <w:r>
        <w:rPr>
          <w:rFonts w:hint="eastAsia" w:ascii="仿宋_GB2312" w:hAnsi="仿宋_GB2312" w:cs="仿宋_GB2312"/>
          <w:color w:val="auto"/>
          <w:sz w:val="32"/>
          <w:szCs w:val="32"/>
          <w:highlight w:val="none"/>
          <w:lang w:eastAsia="zh-Hans"/>
        </w:rPr>
        <w:t>评价项目前期准备工作</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5959E90D">
      <w:pPr>
        <w:pStyle w:val="25"/>
        <w:spacing w:line="600" w:lineRule="exact"/>
        <w:ind w:firstLine="736"/>
        <w:rPr>
          <w:rFonts w:cs="仿宋_GB2312"/>
          <w:color w:val="auto"/>
          <w:highlight w:val="none"/>
        </w:rPr>
      </w:pPr>
      <w:r>
        <w:rPr>
          <w:rFonts w:hint="eastAsia" w:cs="仿宋_GB2312"/>
          <w:b/>
          <w:bCs/>
          <w:color w:val="auto"/>
          <w:highlight w:val="none"/>
        </w:rPr>
        <w:t>1.立项依据充分性：</w:t>
      </w:r>
      <w:r>
        <w:rPr>
          <w:rFonts w:hint="eastAsia" w:cs="仿宋_GB2312"/>
          <w:color w:val="auto"/>
          <w:highlight w:val="none"/>
          <w:lang w:eastAsia="zh-Hans"/>
        </w:rPr>
        <w:t>本项目是由</w:t>
      </w:r>
      <w:r>
        <w:rPr>
          <w:rFonts w:hint="eastAsia" w:cs="仿宋_GB2312"/>
          <w:color w:val="auto"/>
          <w:highlight w:val="none"/>
          <w:lang w:eastAsia="zh-CN"/>
        </w:rPr>
        <w:t>沙湾市</w:t>
      </w:r>
      <w:r>
        <w:rPr>
          <w:rFonts w:hint="eastAsia" w:cs="仿宋_GB2312"/>
          <w:color w:val="auto"/>
          <w:highlight w:val="none"/>
          <w:lang w:val="en-US" w:eastAsia="zh-CN"/>
        </w:rPr>
        <w:t>卫生健康委员会</w:t>
      </w:r>
      <w:r>
        <w:rPr>
          <w:rFonts w:hint="eastAsia" w:cs="仿宋_GB2312"/>
          <w:color w:val="auto"/>
          <w:highlight w:val="none"/>
          <w:lang w:eastAsia="zh-Hans"/>
        </w:rPr>
        <w:t>提出申报</w:t>
      </w:r>
      <w:r>
        <w:rPr>
          <w:rFonts w:cs="仿宋_GB2312"/>
          <w:color w:val="auto"/>
          <w:highlight w:val="none"/>
          <w:lang w:eastAsia="zh-Hans"/>
        </w:rPr>
        <w:t>，</w:t>
      </w:r>
      <w:r>
        <w:rPr>
          <w:rFonts w:hint="eastAsia" w:cs="仿宋_GB2312"/>
          <w:color w:val="auto"/>
          <w:highlight w:val="none"/>
          <w:lang w:eastAsia="zh-Hans"/>
        </w:rPr>
        <w:t>于</w:t>
      </w:r>
      <w:r>
        <w:rPr>
          <w:rFonts w:hint="eastAsia" w:cs="仿宋_GB2312"/>
          <w:color w:val="auto"/>
          <w:highlight w:val="none"/>
          <w:lang w:val="en-US" w:eastAsia="zh-CN"/>
        </w:rPr>
        <w:t>2023</w:t>
      </w:r>
      <w:r>
        <w:rPr>
          <w:rFonts w:hint="eastAsia" w:cs="仿宋_GB2312"/>
          <w:color w:val="auto"/>
          <w:highlight w:val="none"/>
          <w:lang w:eastAsia="zh-Hans"/>
        </w:rPr>
        <w:t>年批复设立</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w:t>
      </w:r>
      <w:r>
        <w:rPr>
          <w:rFonts w:hint="eastAsia" w:ascii="仿宋_GB2312" w:hAnsi="仿宋_GB2312" w:eastAsia="仿宋_GB2312" w:cs="仿宋_GB2312"/>
          <w:color w:val="auto"/>
          <w:spacing w:val="0"/>
          <w:kern w:val="2"/>
          <w:sz w:val="32"/>
          <w:szCs w:val="32"/>
          <w:highlight w:val="none"/>
          <w:lang w:val="en-US" w:eastAsia="zh-Hans" w:bidi="ar-SA"/>
        </w:rPr>
        <w:t>单位根据</w:t>
      </w:r>
      <w:r>
        <w:rPr>
          <w:rFonts w:hint="eastAsia" w:ascii="仿宋_GB2312" w:hAnsi="仿宋_GB2312" w:eastAsia="仿宋_GB2312" w:cs="仿宋_GB2312"/>
          <w:color w:val="auto"/>
          <w:spacing w:val="0"/>
          <w:kern w:val="2"/>
          <w:sz w:val="32"/>
          <w:szCs w:val="32"/>
          <w:highlight w:val="none"/>
          <w:lang w:val="en-US" w:eastAsia="zh-CN" w:bidi="ar-SA"/>
        </w:rPr>
        <w:t>塔地财建[2023]39号2023年积极应对人口老龄化工程和托育建设中央基建投资项目</w:t>
      </w:r>
      <w:r>
        <w:rPr>
          <w:rFonts w:hint="eastAsia" w:ascii="仿宋_GB2312" w:hAnsi="仿宋_GB2312" w:eastAsia="仿宋_GB2312" w:cs="仿宋_GB2312"/>
          <w:color w:val="auto"/>
          <w:spacing w:val="0"/>
          <w:kern w:val="2"/>
          <w:sz w:val="32"/>
          <w:szCs w:val="32"/>
          <w:highlight w:val="none"/>
          <w:lang w:val="en-US" w:eastAsia="zh-Hans" w:bidi="ar-SA"/>
        </w:rPr>
        <w:t>文件要求</w:t>
      </w:r>
      <w:r>
        <w:rPr>
          <w:rFonts w:hint="eastAsia" w:ascii="仿宋_GB2312" w:hAnsi="仿宋_GB2312" w:eastAsia="仿宋_GB2312" w:cs="仿宋_GB2312"/>
          <w:color w:val="auto"/>
          <w:spacing w:val="0"/>
          <w:kern w:val="2"/>
          <w:sz w:val="32"/>
          <w:szCs w:val="32"/>
          <w:highlight w:val="none"/>
          <w:lang w:val="en-US" w:eastAsia="zh-CN" w:bidi="ar-SA"/>
        </w:rPr>
        <w:t>组织实施</w:t>
      </w:r>
      <w:r>
        <w:rPr>
          <w:rFonts w:hint="eastAsia" w:ascii="仿宋_GB2312" w:hAnsi="仿宋_GB2312" w:eastAsia="仿宋_GB2312" w:cs="仿宋_GB2312"/>
          <w:color w:val="auto"/>
          <w:spacing w:val="0"/>
          <w:kern w:val="2"/>
          <w:sz w:val="32"/>
          <w:szCs w:val="32"/>
          <w:highlight w:val="none"/>
          <w:lang w:val="en-US" w:eastAsia="zh-Hans" w:bidi="ar-SA"/>
        </w:rPr>
        <w:t>该项目</w:t>
      </w:r>
      <w:r>
        <w:rPr>
          <w:rFonts w:hint="eastAsia" w:ascii="仿宋_GB2312" w:hAnsi="仿宋_GB2312" w:eastAsia="仿宋_GB2312" w:cs="仿宋_GB2312"/>
          <w:color w:val="auto"/>
          <w:spacing w:val="0"/>
          <w:kern w:val="2"/>
          <w:sz w:val="32"/>
          <w:szCs w:val="32"/>
          <w:highlight w:val="none"/>
          <w:lang w:val="en-US" w:eastAsia="zh-CN" w:bidi="ar-SA"/>
        </w:rPr>
        <w:t>。</w:t>
      </w:r>
      <w:r>
        <w:rPr>
          <w:rFonts w:hint="eastAsia" w:ascii="仿宋_GB2312" w:hAnsi="仿宋_GB2312" w:eastAsia="仿宋_GB2312" w:cs="仿宋_GB2312"/>
          <w:color w:val="auto"/>
          <w:spacing w:val="0"/>
          <w:kern w:val="2"/>
          <w:sz w:val="32"/>
          <w:szCs w:val="32"/>
          <w:highlight w:val="none"/>
          <w:lang w:val="en-US" w:eastAsia="zh-Hans" w:bidi="ar-SA"/>
        </w:rPr>
        <w:t>项目立项</w:t>
      </w:r>
      <w:r>
        <w:rPr>
          <w:rFonts w:hint="eastAsia" w:hAnsi="仿宋_GB2312" w:cs="仿宋_GB2312"/>
          <w:color w:val="auto"/>
          <w:spacing w:val="0"/>
          <w:highlight w:val="none"/>
          <w:lang w:eastAsia="zh-Hans"/>
        </w:rPr>
        <w:t>符合国家法律法规、自治区和地区行业发展规划和政策要求，属于本部门履职所需。</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471FFA77">
      <w:pPr>
        <w:pStyle w:val="25"/>
        <w:spacing w:line="600" w:lineRule="exact"/>
        <w:ind w:firstLine="736"/>
        <w:rPr>
          <w:rFonts w:cs="仿宋_GB2312"/>
          <w:color w:val="auto"/>
          <w:highlight w:val="none"/>
        </w:rPr>
      </w:pPr>
      <w:r>
        <w:rPr>
          <w:rFonts w:hint="eastAsia" w:cs="仿宋_GB2312"/>
          <w:b/>
          <w:bCs/>
          <w:color w:val="auto"/>
          <w:highlight w:val="none"/>
        </w:rPr>
        <w:t>2.立项程序规范性：</w:t>
      </w:r>
      <w:r>
        <w:rPr>
          <w:rFonts w:hint="eastAsia" w:cs="仿宋_GB2312"/>
          <w:color w:val="auto"/>
          <w:highlight w:val="none"/>
        </w:rPr>
        <w:t>根据决策依据编制工作计划和经费预算，经过与部门市政府分管领导进行沟通、筛选确定经费预算计划，上</w:t>
      </w:r>
      <w:r>
        <w:rPr>
          <w:rFonts w:hint="eastAsia" w:cs="仿宋_GB2312"/>
          <w:color w:val="auto"/>
          <w:highlight w:val="none"/>
          <w:lang w:eastAsia="zh-CN"/>
        </w:rPr>
        <w:t>院</w:t>
      </w:r>
      <w:r>
        <w:rPr>
          <w:rFonts w:hint="eastAsia" w:cs="仿宋_GB2312"/>
          <w:color w:val="auto"/>
          <w:highlight w:val="none"/>
        </w:rPr>
        <w:t>委会研究确定最终预算方案</w:t>
      </w:r>
      <w:r>
        <w:rPr>
          <w:rFonts w:cs="仿宋_GB2312"/>
          <w:color w:val="auto"/>
          <w:highlight w:val="none"/>
        </w:rPr>
        <w:t>。</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1CBC116E">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3.绩效目标合理性</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制定了</w:t>
      </w:r>
      <w:r>
        <w:rPr>
          <w:rFonts w:hint="eastAsia" w:ascii="仿宋_GB2312" w:cs="仿宋_GB2312"/>
          <w:color w:val="auto"/>
          <w:sz w:val="32"/>
          <w:szCs w:val="32"/>
          <w:highlight w:val="none"/>
          <w:lang w:eastAsia="zh-Hans"/>
        </w:rPr>
        <w:t>项目支出绩效目标</w:t>
      </w:r>
      <w:r>
        <w:rPr>
          <w:rFonts w:hint="eastAsia" w:ascii="仿宋_GB2312" w:cs="仿宋_GB2312"/>
          <w:color w:val="auto"/>
          <w:sz w:val="32"/>
          <w:szCs w:val="32"/>
          <w:highlight w:val="none"/>
        </w:rPr>
        <w:t>，明确了</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总体思路及</w:t>
      </w:r>
      <w:r>
        <w:rPr>
          <w:rFonts w:hint="eastAsia" w:ascii="仿宋_GB2312" w:cs="仿宋_GB2312"/>
          <w:color w:val="auto"/>
          <w:sz w:val="32"/>
          <w:szCs w:val="32"/>
          <w:highlight w:val="none"/>
          <w:lang w:eastAsia="zh-Hans"/>
        </w:rPr>
        <w:t>总</w:t>
      </w:r>
      <w:r>
        <w:rPr>
          <w:rFonts w:hint="eastAsia" w:ascii="仿宋_GB2312" w:cs="仿宋_GB2312"/>
          <w:color w:val="auto"/>
          <w:sz w:val="32"/>
          <w:szCs w:val="32"/>
          <w:highlight w:val="none"/>
        </w:rPr>
        <w:t>目标、并对</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任务进行了详细分解，对目标进行了细化</w:t>
      </w:r>
      <w:r>
        <w:rPr>
          <w:rFonts w:ascii="仿宋_GB2312" w:cs="仿宋_GB2312"/>
          <w:color w:val="auto"/>
          <w:sz w:val="32"/>
          <w:szCs w:val="32"/>
          <w:highlight w:val="none"/>
        </w:rPr>
        <w:t>。</w:t>
      </w:r>
      <w:r>
        <w:rPr>
          <w:rFonts w:hint="eastAsia" w:ascii="仿宋_GB2312" w:cs="仿宋_GB2312"/>
          <w:color w:val="auto"/>
          <w:sz w:val="32"/>
          <w:szCs w:val="32"/>
          <w:highlight w:val="none"/>
        </w:rPr>
        <w:t>根据评分标准，该指标</w:t>
      </w:r>
      <w:r>
        <w:rPr>
          <w:rFonts w:ascii="仿宋_GB2312" w:cs="仿宋_GB2312"/>
          <w:color w:val="auto"/>
          <w:sz w:val="32"/>
          <w:szCs w:val="32"/>
          <w:highlight w:val="none"/>
        </w:rPr>
        <w:t>3</w:t>
      </w:r>
      <w:r>
        <w:rPr>
          <w:rFonts w:hint="eastAsia" w:ascii="仿宋_GB2312" w:cs="仿宋_GB2312"/>
          <w:color w:val="auto"/>
          <w:sz w:val="32"/>
          <w:szCs w:val="32"/>
          <w:highlight w:val="none"/>
        </w:rPr>
        <w:t>分，得3分。</w:t>
      </w:r>
    </w:p>
    <w:p w14:paraId="547AECE9">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4.绩效指标明确性：</w:t>
      </w:r>
      <w:r>
        <w:rPr>
          <w:rFonts w:hint="eastAsia" w:ascii="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highlight w:val="none"/>
        </w:rPr>
        <w:t>2</w:t>
      </w:r>
      <w:r>
        <w:rPr>
          <w:rFonts w:hint="eastAsia" w:ascii="仿宋_GB2312" w:cs="仿宋_GB2312"/>
          <w:color w:val="auto"/>
          <w:sz w:val="32"/>
          <w:szCs w:val="32"/>
          <w:highlight w:val="none"/>
        </w:rPr>
        <w:t>分，得2分。</w:t>
      </w:r>
    </w:p>
    <w:p w14:paraId="49EB945D">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5.预算编制科学性：</w:t>
      </w:r>
      <w:r>
        <w:rPr>
          <w:rFonts w:hint="eastAsia" w:ascii="仿宋_GB2312" w:cs="仿宋_GB2312"/>
          <w:color w:val="auto"/>
          <w:sz w:val="32"/>
          <w:szCs w:val="32"/>
          <w:highlight w:val="none"/>
        </w:rPr>
        <w:t xml:space="preserve"> 预算编制经过科学论证，内容与项目内容匹配，项目投资额与工作任务相匹配，根据评分标准，该指标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677D8A78">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6.资金分配合理性：</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资金分配依据充分，资金分配额度合理，与项目地方实际相适应。根据评分标准，该指标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543361FC">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（二）项目过程情况</w:t>
      </w:r>
    </w:p>
    <w:p w14:paraId="367A1F88">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14.4</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96</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2BFFFA48">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1.资金到位率：</w:t>
      </w:r>
      <w:r>
        <w:rPr>
          <w:rFonts w:hint="eastAsia" w:ascii="仿宋_GB2312" w:cs="仿宋_GB2312"/>
          <w:color w:val="auto"/>
          <w:sz w:val="32"/>
          <w:szCs w:val="32"/>
          <w:highlight w:val="none"/>
        </w:rPr>
        <w:t>该项目所需财政资金能够足额拨付到位，牵头单位能够及时足额按照合同约定将专项资金拨付给单位，根据评分标准，该指标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p>
    <w:p w14:paraId="0848C294">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2.预算执行率：</w:t>
      </w:r>
      <w:r>
        <w:rPr>
          <w:rFonts w:hint="eastAsia" w:ascii="仿宋_GB2312" w:cs="仿宋_GB2312"/>
          <w:b w:val="0"/>
          <w:bCs w:val="0"/>
          <w:color w:val="auto"/>
          <w:sz w:val="32"/>
          <w:szCs w:val="32"/>
          <w:highlight w:val="none"/>
          <w:lang w:eastAsia="zh-Hans"/>
        </w:rPr>
        <w:t>本项目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300</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279.79</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93.26</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项目资金支出总体能够按照预算执行（</w:t>
      </w:r>
      <w:r>
        <w:rPr>
          <w:rFonts w:hint="eastAsia" w:ascii="仿宋_GB2312" w:cs="仿宋_GB2312"/>
          <w:color w:val="auto"/>
          <w:sz w:val="32"/>
          <w:szCs w:val="32"/>
          <w:highlight w:val="none"/>
          <w:lang w:eastAsia="zh-Hans"/>
        </w:rPr>
        <w:t>未执行完原因</w:t>
      </w:r>
      <w:r>
        <w:rPr>
          <w:rFonts w:hint="eastAsia" w:ascii="仿宋_GB2312" w:cs="仿宋_GB2312"/>
          <w:color w:val="auto"/>
          <w:sz w:val="32"/>
          <w:szCs w:val="32"/>
          <w:highlight w:val="none"/>
          <w:lang w:val="en-US" w:eastAsia="zh-CN"/>
        </w:rPr>
        <w:t>是按合同扣除两个托育机构3%质保金</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1.4</w:t>
      </w:r>
      <w:r>
        <w:rPr>
          <w:rFonts w:hint="eastAsia" w:ascii="仿宋_GB2312" w:cs="仿宋_GB2312"/>
          <w:color w:val="auto"/>
          <w:sz w:val="32"/>
          <w:szCs w:val="32"/>
          <w:highlight w:val="none"/>
        </w:rPr>
        <w:t>分。</w:t>
      </w:r>
    </w:p>
    <w:p w14:paraId="41E7E653">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3.资金使用合规性：</w:t>
      </w:r>
      <w:r>
        <w:rPr>
          <w:rFonts w:hint="eastAsia" w:ascii="仿宋_GB2312" w:cs="仿宋_GB2312"/>
          <w:color w:val="auto"/>
          <w:sz w:val="32"/>
          <w:szCs w:val="32"/>
          <w:highlight w:val="none"/>
          <w:lang w:eastAsia="zh-Hans"/>
        </w:rPr>
        <w:t>项目任务下达后</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eastAsia="zh-CN"/>
        </w:rPr>
        <w:t>沙湾市</w:t>
      </w:r>
      <w:r>
        <w:rPr>
          <w:rFonts w:hint="eastAsia" w:ascii="仿宋_GB2312" w:cs="仿宋_GB2312"/>
          <w:color w:val="auto"/>
          <w:sz w:val="32"/>
          <w:szCs w:val="32"/>
          <w:highlight w:val="none"/>
          <w:lang w:val="en-US" w:eastAsia="zh-CN"/>
        </w:rPr>
        <w:t>卫生健康委员会</w:t>
      </w:r>
      <w:r>
        <w:rPr>
          <w:rFonts w:hint="eastAsia" w:ascii="仿宋_GB2312" w:cs="仿宋_GB2312"/>
          <w:color w:val="auto"/>
          <w:sz w:val="32"/>
          <w:szCs w:val="32"/>
          <w:highlight w:val="none"/>
          <w:lang w:eastAsia="zh-CN"/>
        </w:rPr>
        <w:t>财务管理制度</w:t>
      </w:r>
      <w:r>
        <w:rPr>
          <w:rFonts w:ascii="仿宋_GB2312" w:cs="仿宋_GB2312"/>
          <w:color w:val="auto"/>
          <w:sz w:val="32"/>
          <w:szCs w:val="32"/>
          <w:highlight w:val="none"/>
        </w:rPr>
        <w:t>》</w:t>
      </w:r>
      <w:r>
        <w:rPr>
          <w:rFonts w:hint="eastAsia" w:ascii="仿宋_GB2312" w:cs="仿宋_GB2312"/>
          <w:color w:val="auto"/>
          <w:sz w:val="32"/>
          <w:szCs w:val="32"/>
          <w:highlight w:val="none"/>
        </w:rPr>
        <w:t>制度和管理规定对经费使用进行规范管理，财务制度健全、执行严格</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5C721308">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4.管理制度健全性：</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eastAsia="zh-CN"/>
        </w:rPr>
        <w:t>沙湾市</w:t>
      </w:r>
      <w:r>
        <w:rPr>
          <w:rFonts w:hint="eastAsia" w:ascii="仿宋_GB2312" w:cs="仿宋_GB2312"/>
          <w:color w:val="auto"/>
          <w:sz w:val="32"/>
          <w:szCs w:val="32"/>
          <w:highlight w:val="none"/>
          <w:lang w:val="en-US" w:eastAsia="zh-CN"/>
        </w:rPr>
        <w:t>卫生健康委员会</w:t>
      </w:r>
      <w:r>
        <w:rPr>
          <w:rFonts w:hint="eastAsia" w:ascii="仿宋_GB2312" w:cs="仿宋_GB2312"/>
          <w:color w:val="auto"/>
          <w:sz w:val="32"/>
          <w:szCs w:val="32"/>
          <w:highlight w:val="none"/>
          <w:lang w:eastAsia="zh-CN"/>
        </w:rPr>
        <w:t>内控管理制度</w:t>
      </w:r>
      <w:r>
        <w:rPr>
          <w:rFonts w:ascii="仿宋_GB2312" w:cs="仿宋_GB2312"/>
          <w:color w:val="auto"/>
          <w:sz w:val="32"/>
          <w:szCs w:val="32"/>
          <w:highlight w:val="none"/>
        </w:rPr>
        <w:t>》</w:t>
      </w:r>
      <w:r>
        <w:rPr>
          <w:rFonts w:hint="eastAsia" w:ascii="仿宋_GB2312" w:cs="仿宋_GB2312"/>
          <w:color w:val="auto"/>
          <w:sz w:val="32"/>
          <w:szCs w:val="32"/>
          <w:highlight w:val="none"/>
          <w:lang w:eastAsia="zh-Hans"/>
        </w:rPr>
        <w:t>等</w:t>
      </w:r>
      <w:r>
        <w:rPr>
          <w:rFonts w:ascii="仿宋_GB2312" w:cs="仿宋_GB2312"/>
          <w:color w:val="auto"/>
          <w:sz w:val="32"/>
          <w:szCs w:val="32"/>
          <w:highlight w:val="none"/>
        </w:rPr>
        <w:t>相关</w:t>
      </w:r>
      <w:r>
        <w:rPr>
          <w:rFonts w:hint="eastAsia" w:ascii="仿宋_GB2312" w:cs="仿宋_GB2312"/>
          <w:color w:val="auto"/>
          <w:sz w:val="32"/>
          <w:szCs w:val="32"/>
          <w:highlight w:val="none"/>
          <w:lang w:eastAsia="zh-Hans"/>
        </w:rPr>
        <w:t>项目</w:t>
      </w:r>
      <w:r>
        <w:rPr>
          <w:rFonts w:ascii="仿宋_GB2312" w:cs="仿宋_GB2312"/>
          <w:color w:val="auto"/>
          <w:sz w:val="32"/>
          <w:szCs w:val="32"/>
          <w:highlight w:val="none"/>
        </w:rPr>
        <w:t>管理办法，</w:t>
      </w:r>
      <w:r>
        <w:rPr>
          <w:rFonts w:hint="eastAsia" w:ascii="仿宋_GB2312" w:cs="仿宋_GB2312"/>
          <w:color w:val="auto"/>
          <w:sz w:val="32"/>
          <w:szCs w:val="32"/>
          <w:highlight w:val="none"/>
          <w:lang w:eastAsia="zh-Hans"/>
        </w:rPr>
        <w:t>同时</w:t>
      </w:r>
      <w:r>
        <w:rPr>
          <w:rFonts w:hint="eastAsia" w:ascii="仿宋_GB2312" w:cs="仿宋_GB2312"/>
          <w:color w:val="auto"/>
          <w:sz w:val="32"/>
          <w:szCs w:val="32"/>
          <w:highlight w:val="none"/>
        </w:rPr>
        <w:t>对财政专项资金进行</w:t>
      </w:r>
      <w:r>
        <w:rPr>
          <w:rFonts w:ascii="仿宋_GB2312" w:cs="仿宋_GB2312"/>
          <w:color w:val="auto"/>
          <w:sz w:val="32"/>
          <w:szCs w:val="32"/>
          <w:highlight w:val="none"/>
        </w:rPr>
        <w:t>严格</w:t>
      </w:r>
      <w:r>
        <w:rPr>
          <w:rFonts w:hint="eastAsia" w:ascii="仿宋_GB2312" w:cs="仿宋_GB2312"/>
          <w:color w:val="auto"/>
          <w:sz w:val="32"/>
          <w:szCs w:val="32"/>
          <w:highlight w:val="none"/>
        </w:rPr>
        <w:t>管理，基本做到了专款专用，根据评分标准，该指标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5BF732D3">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5.制度执行有效性</w:t>
      </w:r>
      <w:r>
        <w:rPr>
          <w:rFonts w:hint="eastAsia" w:ascii="仿宋_GB2312" w:cs="仿宋_GB2312"/>
          <w:color w:val="auto"/>
          <w:sz w:val="32"/>
          <w:szCs w:val="32"/>
          <w:highlight w:val="none"/>
        </w:rPr>
        <w:t>：由部门提出经费预算支出可行性方案，经过与市政府分管领导沟通后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hint="eastAsia" w:ascii="仿宋_GB2312" w:cs="仿宋_GB2312"/>
          <w:color w:val="auto"/>
          <w:sz w:val="32"/>
          <w:szCs w:val="32"/>
          <w:highlight w:val="none"/>
          <w:lang w:eastAsia="zh-CN"/>
        </w:rPr>
        <w:t>院</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研究执行，财务对资金的使用合法合规性进行监督，年底对资金使用效果进行自评，根据评分标准，该指标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55F00CB1">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14:paraId="65E988B6">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项目产出类指标包括产出数量、产出质量、产出时效、产出成本共四方面的内容，由</w:t>
      </w:r>
      <w:r>
        <w:rPr>
          <w:rFonts w:hint="eastAsia" w:ascii="仿宋_GB2312" w:cs="仿宋_GB2312"/>
          <w:color w:val="auto"/>
          <w:sz w:val="32"/>
          <w:szCs w:val="32"/>
          <w:highlight w:val="none"/>
          <w:lang w:val="en-US" w:eastAsia="zh-CN"/>
        </w:rPr>
        <w:t>8</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4</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39.34</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98.35</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28623020">
      <w:pPr>
        <w:spacing w:line="600" w:lineRule="exact"/>
        <w:ind w:firstLineChars="0"/>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 产出数量</w:t>
      </w:r>
    </w:p>
    <w:p w14:paraId="7F0CF341">
      <w:pPr>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w:t>
      </w:r>
      <w:r>
        <w:rPr>
          <w:rFonts w:hint="eastAsia" w:ascii="仿宋_GB2312"/>
          <w:color w:val="auto"/>
          <w:sz w:val="32"/>
          <w:szCs w:val="32"/>
          <w:highlight w:val="none"/>
          <w:lang w:val="en-US" w:eastAsia="zh-CN"/>
        </w:rPr>
        <w:t>托育计划项目数</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color w:val="auto"/>
          <w:sz w:val="32"/>
          <w:szCs w:val="32"/>
          <w:highlight w:val="none"/>
          <w:lang w:val="en-US" w:eastAsia="zh-CN"/>
        </w:rPr>
        <w:t>等于</w:t>
      </w:r>
      <w:r>
        <w:rPr>
          <w:rFonts w:hint="eastAsia" w:ascii="仿宋_GB2312" w:hAnsi="仿宋_GB2312" w:eastAsia="宋体" w:cs="仿宋_GB2312"/>
          <w:color w:val="auto"/>
          <w:sz w:val="32"/>
          <w:szCs w:val="32"/>
          <w:highlight w:val="none"/>
          <w:lang w:val="en-US" w:eastAsia="zh-CN"/>
        </w:rPr>
        <w:t>2个</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立项批复</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2个</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rPr>
        <w:t>分。</w:t>
      </w:r>
    </w:p>
    <w:p w14:paraId="54CDAA3A">
      <w:pPr>
        <w:numPr>
          <w:ilvl w:val="0"/>
          <w:numId w:val="6"/>
        </w:numPr>
        <w:spacing w:line="600" w:lineRule="exact"/>
        <w:ind w:firstLine="643"/>
        <w:rPr>
          <w:rFonts w:hint="eastAsia" w:ascii="仿宋_GB2312"/>
          <w:b/>
          <w:bCs/>
          <w:color w:val="auto"/>
          <w:sz w:val="32"/>
          <w:highlight w:val="none"/>
        </w:rPr>
      </w:pPr>
      <w:r>
        <w:rPr>
          <w:rFonts w:hint="eastAsia" w:ascii="仿宋_GB2312"/>
          <w:b/>
          <w:bCs/>
          <w:color w:val="auto"/>
          <w:sz w:val="32"/>
          <w:highlight w:val="none"/>
        </w:rPr>
        <w:t>产出质量</w:t>
      </w:r>
    </w:p>
    <w:p w14:paraId="27F836F3">
      <w:pPr>
        <w:spacing w:line="600" w:lineRule="exact"/>
        <w:ind w:left="0" w:leftChars="0" w:firstLine="640" w:firstLineChars="200"/>
        <w:rPr>
          <w:rFonts w:hint="default" w:eastAsia="仿宋_GB2312"/>
          <w:color w:val="auto"/>
          <w:lang w:val="en-US" w:eastAsia="zh-CN"/>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建设项目验收合格率</w:t>
      </w:r>
      <w:r>
        <w:rPr>
          <w:rFonts w:hint="eastAsia" w:ascii="仿宋_GB2312" w:hAnsi="仿宋_GB2312" w:cs="仿宋_GB2312"/>
          <w:color w:val="auto"/>
          <w:sz w:val="32"/>
          <w:szCs w:val="32"/>
          <w:highlight w:val="none"/>
          <w:lang w:eastAsia="zh-Hans"/>
        </w:rPr>
        <w:t>”指标，预期指标值为“</w:t>
      </w:r>
      <w:r>
        <w:rPr>
          <w:rFonts w:hint="eastAsia" w:ascii="仿宋_GB2312"/>
          <w:color w:val="auto"/>
          <w:sz w:val="32"/>
          <w:szCs w:val="32"/>
          <w:highlight w:val="none"/>
          <w:lang w:val="en-US" w:eastAsia="zh-CN"/>
        </w:rPr>
        <w:t>等于</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第三方验收报告</w:t>
      </w:r>
      <w:r>
        <w:rPr>
          <w:rFonts w:hint="eastAsia" w:ascii="仿宋_GB2312" w:hAnsi="仿宋_GB2312" w:cs="仿宋_GB2312"/>
          <w:color w:val="auto"/>
          <w:sz w:val="32"/>
          <w:szCs w:val="32"/>
          <w:highlight w:val="none"/>
          <w:lang w:eastAsia="zh-Hans"/>
        </w:rPr>
        <w:t>，实际</w:t>
      </w:r>
      <w:r>
        <w:rPr>
          <w:rFonts w:hint="eastAsia" w:ascii="仿宋_GB2312" w:hAnsi="仿宋_GB2312" w:cs="仿宋_GB2312"/>
          <w:color w:val="auto"/>
          <w:sz w:val="32"/>
          <w:szCs w:val="32"/>
          <w:highlight w:val="none"/>
          <w:lang w:val="en-US" w:eastAsia="zh-CN"/>
        </w:rPr>
        <w:t>验收合格率为100%</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w:t>
      </w:r>
    </w:p>
    <w:p w14:paraId="24F6775F">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设施达到当地抗震设防要求达标率</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100%</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第三方验收报告</w:t>
      </w:r>
      <w:r>
        <w:rPr>
          <w:rFonts w:hint="eastAsia" w:ascii="仿宋_GB2312" w:hAnsi="仿宋_GB2312" w:cs="仿宋_GB2312"/>
          <w:color w:val="auto"/>
          <w:sz w:val="32"/>
          <w:szCs w:val="32"/>
          <w:highlight w:val="none"/>
          <w:lang w:eastAsia="zh-Hans"/>
        </w:rPr>
        <w:t>，实际</w:t>
      </w:r>
      <w:r>
        <w:rPr>
          <w:rFonts w:hint="eastAsia" w:ascii="仿宋_GB2312" w:hAnsi="仿宋_GB2312" w:cs="仿宋_GB2312"/>
          <w:color w:val="auto"/>
          <w:sz w:val="32"/>
          <w:szCs w:val="32"/>
          <w:highlight w:val="none"/>
          <w:lang w:val="en-US" w:eastAsia="zh-CN"/>
        </w:rPr>
        <w:t>验收合格率为100%</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与预期目标一致，根据评分标准，该指标</w:t>
      </w:r>
      <w:r>
        <w:rPr>
          <w:rFonts w:hint="eastAsia" w:ascii="仿宋_GB2312"/>
          <w:color w:val="auto"/>
          <w:sz w:val="32"/>
          <w:szCs w:val="32"/>
          <w:highlight w:val="none"/>
          <w:lang w:val="en-US" w:eastAsia="zh-CN"/>
        </w:rPr>
        <w:t>5</w:t>
      </w:r>
      <w:r>
        <w:rPr>
          <w:rFonts w:hint="eastAsia" w:ascii="仿宋_GB2312" w:hAnsi="仿宋_GB2312" w:cs="仿宋_GB2312"/>
          <w:color w:val="auto"/>
          <w:sz w:val="32"/>
          <w:szCs w:val="32"/>
          <w:highlight w:val="none"/>
        </w:rPr>
        <w:t>分，得</w:t>
      </w:r>
      <w:r>
        <w:rPr>
          <w:rFonts w:hint="eastAsia" w:ascii="仿宋_GB2312"/>
          <w:color w:val="auto"/>
          <w:sz w:val="32"/>
          <w:szCs w:val="32"/>
          <w:highlight w:val="none"/>
          <w:lang w:val="en-US" w:eastAsia="zh-CN"/>
        </w:rPr>
        <w:t>5</w:t>
      </w:r>
      <w:r>
        <w:rPr>
          <w:rFonts w:hint="eastAsia" w:ascii="仿宋_GB2312" w:hAnsi="仿宋_GB2312" w:cs="仿宋_GB2312"/>
          <w:color w:val="auto"/>
          <w:sz w:val="32"/>
          <w:szCs w:val="32"/>
          <w:highlight w:val="none"/>
        </w:rPr>
        <w:t>分。</w:t>
      </w:r>
    </w:p>
    <w:p w14:paraId="343CC2FD">
      <w:pPr>
        <w:pStyle w:val="7"/>
        <w:spacing w:before="0" w:after="0" w:line="600" w:lineRule="exact"/>
        <w:ind w:left="643" w:firstLine="0" w:firstLineChars="0"/>
        <w:jc w:val="both"/>
        <w:rPr>
          <w:rFonts w:ascii="仿宋_GB2312" w:cs="仿宋_GB2312"/>
          <w:bCs/>
          <w:color w:val="auto"/>
          <w:sz w:val="32"/>
          <w:szCs w:val="32"/>
          <w:highlight w:val="none"/>
        </w:rPr>
      </w:pPr>
      <w:r>
        <w:rPr>
          <w:rFonts w:hint="eastAsia" w:ascii="仿宋_GB2312" w:cs="仿宋_GB2312"/>
          <w:bCs/>
          <w:color w:val="auto"/>
          <w:sz w:val="32"/>
          <w:szCs w:val="32"/>
          <w:highlight w:val="none"/>
        </w:rPr>
        <w:t>3.产出时效</w:t>
      </w:r>
    </w:p>
    <w:p w14:paraId="2F4041D7">
      <w:pPr>
        <w:pStyle w:val="7"/>
        <w:spacing w:before="0" w:after="0" w:line="600" w:lineRule="exact"/>
        <w:ind w:firstLine="640"/>
        <w:jc w:val="both"/>
        <w:rPr>
          <w:rFonts w:hint="eastAsia" w:ascii="仿宋_GB2312" w:cs="仿宋_GB2312"/>
          <w:b w:val="0"/>
          <w:bCs w:val="0"/>
          <w:color w:val="auto"/>
          <w:sz w:val="32"/>
          <w:szCs w:val="32"/>
          <w:highlight w:val="none"/>
        </w:rPr>
      </w:pP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val="en-US" w:eastAsia="zh-CN"/>
        </w:rPr>
        <w:t>托育机构完工及时率</w:t>
      </w:r>
      <w:r>
        <w:rPr>
          <w:rFonts w:hint="eastAsia" w:ascii="仿宋_GB2312" w:cs="仿宋_GB2312"/>
          <w:b w:val="0"/>
          <w:color w:val="auto"/>
          <w:sz w:val="32"/>
          <w:szCs w:val="32"/>
          <w:highlight w:val="none"/>
          <w:lang w:eastAsia="zh-Hans"/>
        </w:rPr>
        <w:t>”</w:t>
      </w:r>
      <w:r>
        <w:rPr>
          <w:rFonts w:hint="eastAsia" w:ascii="仿宋_GB2312" w:hAnsi="仿宋_GB2312" w:cs="仿宋_GB2312"/>
          <w:b w:val="0"/>
          <w:color w:val="auto"/>
          <w:sz w:val="32"/>
          <w:szCs w:val="32"/>
          <w:highlight w:val="none"/>
          <w:lang w:eastAsia="zh-Hans"/>
        </w:rPr>
        <w:t>指标，预期指标值为</w:t>
      </w: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val="en-US" w:eastAsia="zh-CN"/>
        </w:rPr>
        <w:t>等于100%</w:t>
      </w:r>
      <w:r>
        <w:rPr>
          <w:rFonts w:hint="eastAsia" w:ascii="仿宋_GB2312" w:cs="仿宋_GB2312"/>
          <w:b w:val="0"/>
          <w:color w:val="auto"/>
          <w:sz w:val="32"/>
          <w:szCs w:val="32"/>
          <w:highlight w:val="none"/>
          <w:lang w:eastAsia="zh-Hans"/>
        </w:rPr>
        <w:t>”</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根据</w:t>
      </w:r>
      <w:r>
        <w:rPr>
          <w:rFonts w:hint="eastAsia" w:ascii="仿宋_GB2312" w:cs="仿宋_GB2312"/>
          <w:b w:val="0"/>
          <w:color w:val="auto"/>
          <w:sz w:val="32"/>
          <w:szCs w:val="32"/>
          <w:highlight w:val="none"/>
          <w:lang w:val="en-US" w:eastAsia="zh-CN"/>
        </w:rPr>
        <w:t>工程进度分析</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该项目于</w:t>
      </w:r>
      <w:r>
        <w:rPr>
          <w:rFonts w:hint="eastAsia" w:ascii="仿宋_GB2312" w:cs="仿宋_GB2312"/>
          <w:b w:val="0"/>
          <w:color w:val="auto"/>
          <w:sz w:val="32"/>
          <w:szCs w:val="32"/>
          <w:highlight w:val="none"/>
          <w:lang w:val="en-US" w:eastAsia="zh-CN"/>
        </w:rPr>
        <w:t>2023年10月18日竣工</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与预期目标指标一</w:t>
      </w:r>
      <w:r>
        <w:rPr>
          <w:rFonts w:hint="eastAsia" w:ascii="仿宋_GB2312" w:cs="仿宋_GB2312"/>
          <w:b w:val="0"/>
          <w:bCs/>
          <w:color w:val="auto"/>
          <w:sz w:val="32"/>
          <w:szCs w:val="32"/>
          <w:highlight w:val="none"/>
        </w:rPr>
        <w:t>致</w:t>
      </w:r>
      <w:r>
        <w:rPr>
          <w:rFonts w:hint="eastAsia" w:ascii="仿宋_GB2312" w:cs="仿宋_GB2312"/>
          <w:b w:val="0"/>
          <w:color w:val="auto"/>
          <w:sz w:val="32"/>
          <w:szCs w:val="32"/>
          <w:highlight w:val="none"/>
        </w:rPr>
        <w:t>，根据评分标准，该指</w:t>
      </w:r>
      <w:r>
        <w:rPr>
          <w:rFonts w:hint="eastAsia" w:ascii="仿宋_GB2312" w:cs="仿宋_GB2312"/>
          <w:b w:val="0"/>
          <w:bCs w:val="0"/>
          <w:color w:val="auto"/>
          <w:sz w:val="32"/>
          <w:szCs w:val="32"/>
          <w:highlight w:val="none"/>
        </w:rPr>
        <w:t>标</w:t>
      </w:r>
      <w:r>
        <w:rPr>
          <w:rFonts w:hint="eastAsia" w:ascii="仿宋_GB2312"/>
          <w:b w:val="0"/>
          <w:bCs w:val="0"/>
          <w:color w:val="auto"/>
          <w:sz w:val="32"/>
          <w:szCs w:val="32"/>
          <w:highlight w:val="none"/>
          <w:lang w:val="en-US" w:eastAsia="zh-CN"/>
        </w:rPr>
        <w:t>5</w:t>
      </w:r>
      <w:r>
        <w:rPr>
          <w:rFonts w:hint="eastAsia" w:ascii="仿宋_GB2312" w:cs="仿宋_GB2312"/>
          <w:b w:val="0"/>
          <w:bCs w:val="0"/>
          <w:color w:val="auto"/>
          <w:sz w:val="32"/>
          <w:szCs w:val="32"/>
          <w:highlight w:val="none"/>
        </w:rPr>
        <w:t>分，得</w:t>
      </w:r>
      <w:r>
        <w:rPr>
          <w:rFonts w:hint="eastAsia" w:ascii="仿宋_GB2312"/>
          <w:b w:val="0"/>
          <w:bCs w:val="0"/>
          <w:color w:val="auto"/>
          <w:sz w:val="32"/>
          <w:szCs w:val="32"/>
          <w:highlight w:val="none"/>
          <w:lang w:val="en-US" w:eastAsia="zh-CN"/>
        </w:rPr>
        <w:t>5</w:t>
      </w:r>
      <w:r>
        <w:rPr>
          <w:rFonts w:hint="eastAsia" w:ascii="仿宋_GB2312" w:cs="仿宋_GB2312"/>
          <w:b w:val="0"/>
          <w:bCs w:val="0"/>
          <w:color w:val="auto"/>
          <w:sz w:val="32"/>
          <w:szCs w:val="32"/>
          <w:highlight w:val="none"/>
        </w:rPr>
        <w:t>分。</w:t>
      </w:r>
    </w:p>
    <w:p w14:paraId="0A3655C4">
      <w:pPr>
        <w:pStyle w:val="7"/>
        <w:spacing w:before="0" w:after="0" w:line="600" w:lineRule="exact"/>
        <w:ind w:firstLine="640"/>
        <w:jc w:val="both"/>
        <w:rPr>
          <w:rFonts w:hint="eastAsia" w:ascii="仿宋_GB2312" w:cs="仿宋_GB2312"/>
          <w:b w:val="0"/>
          <w:bCs w:val="0"/>
          <w:color w:val="auto"/>
          <w:sz w:val="32"/>
          <w:szCs w:val="32"/>
          <w:highlight w:val="none"/>
        </w:rPr>
      </w:pP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val="en-US" w:eastAsia="zh-CN"/>
        </w:rPr>
        <w:t>项目完成时限</w:t>
      </w:r>
      <w:r>
        <w:rPr>
          <w:rFonts w:hint="eastAsia" w:ascii="仿宋_GB2312" w:cs="仿宋_GB2312"/>
          <w:b w:val="0"/>
          <w:color w:val="auto"/>
          <w:sz w:val="32"/>
          <w:szCs w:val="32"/>
          <w:highlight w:val="none"/>
          <w:lang w:eastAsia="zh-Hans"/>
        </w:rPr>
        <w:t>”</w:t>
      </w:r>
      <w:r>
        <w:rPr>
          <w:rFonts w:hint="eastAsia" w:ascii="仿宋_GB2312" w:hAnsi="仿宋_GB2312" w:cs="仿宋_GB2312"/>
          <w:b w:val="0"/>
          <w:color w:val="auto"/>
          <w:sz w:val="32"/>
          <w:szCs w:val="32"/>
          <w:highlight w:val="none"/>
          <w:lang w:eastAsia="zh-Hans"/>
        </w:rPr>
        <w:t>指标，预期指标值为</w:t>
      </w: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val="en-US" w:eastAsia="zh-CN"/>
        </w:rPr>
        <w:t>2023年12月25日前</w:t>
      </w:r>
      <w:r>
        <w:rPr>
          <w:rFonts w:hint="eastAsia" w:ascii="仿宋_GB2312" w:cs="仿宋_GB2312"/>
          <w:b w:val="0"/>
          <w:color w:val="auto"/>
          <w:sz w:val="32"/>
          <w:szCs w:val="32"/>
          <w:highlight w:val="none"/>
          <w:lang w:eastAsia="zh-Hans"/>
        </w:rPr>
        <w:t>”</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根据</w:t>
      </w:r>
      <w:r>
        <w:rPr>
          <w:rFonts w:hint="eastAsia" w:ascii="仿宋_GB2312" w:cs="仿宋_GB2312"/>
          <w:b w:val="0"/>
          <w:color w:val="auto"/>
          <w:sz w:val="32"/>
          <w:szCs w:val="32"/>
          <w:highlight w:val="none"/>
          <w:lang w:val="en-US" w:eastAsia="zh-CN"/>
        </w:rPr>
        <w:t>工程进度分析</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该项目于</w:t>
      </w:r>
      <w:r>
        <w:rPr>
          <w:rFonts w:hint="eastAsia" w:ascii="仿宋_GB2312" w:cs="仿宋_GB2312"/>
          <w:b w:val="0"/>
          <w:color w:val="auto"/>
          <w:sz w:val="32"/>
          <w:szCs w:val="32"/>
          <w:highlight w:val="none"/>
          <w:lang w:val="en-US" w:eastAsia="zh-CN"/>
        </w:rPr>
        <w:t>2023年10月18日竣工</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val="en-US" w:eastAsia="zh-CN"/>
        </w:rPr>
        <w:t>2023年12月25日前已支付279.79万元，</w:t>
      </w:r>
      <w:r>
        <w:rPr>
          <w:rFonts w:hint="eastAsia" w:ascii="仿宋_GB2312" w:cs="仿宋_GB2312"/>
          <w:b w:val="0"/>
          <w:color w:val="auto"/>
          <w:sz w:val="32"/>
          <w:szCs w:val="32"/>
          <w:highlight w:val="none"/>
        </w:rPr>
        <w:t>与预期目标指标一</w:t>
      </w:r>
      <w:r>
        <w:rPr>
          <w:rFonts w:hint="eastAsia" w:ascii="仿宋_GB2312" w:cs="仿宋_GB2312"/>
          <w:b w:val="0"/>
          <w:bCs/>
          <w:color w:val="auto"/>
          <w:sz w:val="32"/>
          <w:szCs w:val="32"/>
          <w:highlight w:val="none"/>
        </w:rPr>
        <w:t>致</w:t>
      </w:r>
      <w:r>
        <w:rPr>
          <w:rFonts w:hint="eastAsia" w:ascii="仿宋_GB2312" w:cs="仿宋_GB2312"/>
          <w:b w:val="0"/>
          <w:color w:val="auto"/>
          <w:sz w:val="32"/>
          <w:szCs w:val="32"/>
          <w:highlight w:val="none"/>
        </w:rPr>
        <w:t>，根据评分标准，该指</w:t>
      </w:r>
      <w:r>
        <w:rPr>
          <w:rFonts w:hint="eastAsia" w:ascii="仿宋_GB2312" w:cs="仿宋_GB2312"/>
          <w:b w:val="0"/>
          <w:bCs w:val="0"/>
          <w:color w:val="auto"/>
          <w:sz w:val="32"/>
          <w:szCs w:val="32"/>
          <w:highlight w:val="none"/>
        </w:rPr>
        <w:t>标</w:t>
      </w:r>
      <w:r>
        <w:rPr>
          <w:rFonts w:hint="eastAsia" w:ascii="仿宋_GB2312"/>
          <w:b w:val="0"/>
          <w:bCs w:val="0"/>
          <w:color w:val="auto"/>
          <w:sz w:val="32"/>
          <w:szCs w:val="32"/>
          <w:highlight w:val="none"/>
          <w:lang w:val="en-US" w:eastAsia="zh-CN"/>
        </w:rPr>
        <w:t>5</w:t>
      </w:r>
      <w:r>
        <w:rPr>
          <w:rFonts w:hint="eastAsia" w:ascii="仿宋_GB2312" w:cs="仿宋_GB2312"/>
          <w:b w:val="0"/>
          <w:bCs w:val="0"/>
          <w:color w:val="auto"/>
          <w:sz w:val="32"/>
          <w:szCs w:val="32"/>
          <w:highlight w:val="none"/>
        </w:rPr>
        <w:t>分，得</w:t>
      </w:r>
      <w:r>
        <w:rPr>
          <w:rFonts w:hint="eastAsia" w:ascii="仿宋_GB2312"/>
          <w:b w:val="0"/>
          <w:bCs w:val="0"/>
          <w:color w:val="auto"/>
          <w:sz w:val="32"/>
          <w:szCs w:val="32"/>
          <w:highlight w:val="none"/>
          <w:lang w:val="en-US" w:eastAsia="zh-CN"/>
        </w:rPr>
        <w:t>5</w:t>
      </w:r>
      <w:r>
        <w:rPr>
          <w:rFonts w:hint="eastAsia" w:ascii="仿宋_GB2312" w:cs="仿宋_GB2312"/>
          <w:b w:val="0"/>
          <w:bCs w:val="0"/>
          <w:color w:val="auto"/>
          <w:sz w:val="32"/>
          <w:szCs w:val="32"/>
          <w:highlight w:val="none"/>
        </w:rPr>
        <w:t>分。</w:t>
      </w:r>
    </w:p>
    <w:p w14:paraId="6E732D01">
      <w:pPr>
        <w:pStyle w:val="7"/>
        <w:spacing w:before="0" w:after="0" w:line="600" w:lineRule="exact"/>
        <w:ind w:left="643" w:firstLine="0" w:firstLineChars="0"/>
        <w:jc w:val="both"/>
        <w:rPr>
          <w:rFonts w:hint="eastAsia" w:ascii="仿宋_GB2312" w:cs="仿宋_GB2312"/>
          <w:bCs/>
          <w:color w:val="auto"/>
          <w:sz w:val="32"/>
          <w:szCs w:val="32"/>
          <w:highlight w:val="none"/>
        </w:rPr>
      </w:pPr>
      <w:r>
        <w:rPr>
          <w:rFonts w:hint="eastAsia" w:ascii="仿宋_GB2312" w:cs="仿宋_GB2312"/>
          <w:bCs/>
          <w:color w:val="auto"/>
          <w:sz w:val="32"/>
          <w:szCs w:val="32"/>
          <w:highlight w:val="none"/>
          <w:lang w:val="en-US" w:eastAsia="zh-CN"/>
        </w:rPr>
        <w:t>4.</w:t>
      </w:r>
      <w:r>
        <w:rPr>
          <w:rFonts w:hint="eastAsia" w:ascii="仿宋_GB2312" w:cs="仿宋_GB2312"/>
          <w:bCs/>
          <w:color w:val="auto"/>
          <w:sz w:val="32"/>
          <w:szCs w:val="32"/>
          <w:highlight w:val="none"/>
        </w:rPr>
        <w:t>产出成本</w:t>
      </w:r>
    </w:p>
    <w:p w14:paraId="327BC9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经济成本1、</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塔城地区第一托育机构项目资金</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eastAsia="zh-CN"/>
        </w:rPr>
        <w:t>小于等于</w:t>
      </w:r>
      <w:r>
        <w:rPr>
          <w:rFonts w:hint="eastAsia" w:ascii="仿宋_GB2312" w:eastAsia="宋体" w:cs="仿宋_GB2312"/>
          <w:color w:val="auto"/>
          <w:sz w:val="32"/>
          <w:szCs w:val="32"/>
          <w:highlight w:val="none"/>
          <w:lang w:val="en-US" w:eastAsia="zh-CN"/>
        </w:rPr>
        <w:t>150</w:t>
      </w:r>
      <w:r>
        <w:rPr>
          <w:rFonts w:hint="eastAsia" w:ascii="仿宋_GB2312" w:hAnsi="Times New Roman" w:eastAsia="仿宋_GB2312" w:cs="仿宋_GB2312"/>
          <w:b w:val="0"/>
          <w:color w:val="auto"/>
          <w:kern w:val="2"/>
          <w:sz w:val="32"/>
          <w:szCs w:val="32"/>
          <w:highlight w:val="none"/>
          <w:lang w:val="en-US" w:eastAsia="zh-CN" w:bidi="ar-SA"/>
        </w:rPr>
        <w:t>万元</w:t>
      </w:r>
      <w:r>
        <w:rPr>
          <w:rFonts w:hint="eastAsia" w:ascii="仿宋_GB2312" w:hAnsi="Times New Roman" w:eastAsia="仿宋_GB2312" w:cs="仿宋_GB2312"/>
          <w:b w:val="0"/>
          <w:color w:val="auto"/>
          <w:kern w:val="2"/>
          <w:sz w:val="32"/>
          <w:szCs w:val="32"/>
          <w:highlight w:val="none"/>
          <w:lang w:val="en-US" w:eastAsia="zh-Hans" w:bidi="ar-SA"/>
        </w:rPr>
        <w:t>”，根据资金支付凭证显示，本</w:t>
      </w:r>
      <w:r>
        <w:rPr>
          <w:rFonts w:hint="eastAsia" w:ascii="仿宋_GB2312" w:hAnsi="Times New Roman" w:eastAsia="仿宋_GB2312" w:cs="仿宋_GB2312"/>
          <w:b w:val="0"/>
          <w:color w:val="auto"/>
          <w:kern w:val="2"/>
          <w:sz w:val="32"/>
          <w:szCs w:val="32"/>
          <w:highlight w:val="none"/>
          <w:lang w:val="en-US" w:eastAsia="zh-CN" w:bidi="ar-SA"/>
        </w:rPr>
        <w:t>项目合同价：149.600744万元，已支付：145.1127万元，未支付：3%的质保金4.4879万元。</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4.85</w:t>
      </w:r>
      <w:r>
        <w:rPr>
          <w:rFonts w:hint="eastAsia" w:ascii="仿宋_GB2312" w:cs="仿宋_GB2312"/>
          <w:color w:val="auto"/>
          <w:sz w:val="32"/>
          <w:szCs w:val="32"/>
          <w:highlight w:val="none"/>
        </w:rPr>
        <w:t>分。</w:t>
      </w:r>
    </w:p>
    <w:p w14:paraId="006C6A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color w:val="auto"/>
          <w:highlight w:val="none"/>
        </w:rPr>
      </w:pPr>
      <w:r>
        <w:rPr>
          <w:rFonts w:hint="eastAsia" w:ascii="仿宋_GB2312" w:cs="仿宋_GB2312"/>
          <w:color w:val="auto"/>
          <w:sz w:val="32"/>
          <w:szCs w:val="32"/>
          <w:highlight w:val="none"/>
          <w:lang w:eastAsia="zh-CN"/>
        </w:rPr>
        <w:t>经济成本</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塔城地区第八托育机构项目资金</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eastAsia="zh-CN"/>
        </w:rPr>
        <w:t>小于等</w:t>
      </w:r>
      <w:r>
        <w:rPr>
          <w:rFonts w:hint="eastAsia" w:ascii="仿宋_GB2312" w:hAnsi="Times New Roman" w:cs="仿宋_GB2312"/>
          <w:color w:val="auto"/>
          <w:sz w:val="32"/>
          <w:szCs w:val="32"/>
          <w:highlight w:val="none"/>
          <w:lang w:val="en-US" w:eastAsia="zh-CN"/>
        </w:rPr>
        <w:t>于150万元</w:t>
      </w:r>
      <w:r>
        <w:rPr>
          <w:rFonts w:hint="eastAsia" w:ascii="仿宋_GB2312" w:hAnsi="Times New Roman" w:cs="仿宋_GB2312"/>
          <w:color w:val="auto"/>
          <w:sz w:val="32"/>
          <w:szCs w:val="32"/>
          <w:highlight w:val="none"/>
          <w:lang w:val="en-US" w:eastAsia="zh-Hans"/>
        </w:rPr>
        <w:t>”，根据资金支付凭证显示，本</w:t>
      </w:r>
      <w:r>
        <w:rPr>
          <w:rFonts w:hint="eastAsia" w:ascii="仿宋_GB2312" w:hAnsi="Times New Roman" w:cs="仿宋_GB2312"/>
          <w:color w:val="auto"/>
          <w:sz w:val="32"/>
          <w:szCs w:val="32"/>
          <w:highlight w:val="none"/>
          <w:lang w:val="en-US" w:eastAsia="zh-CN"/>
        </w:rPr>
        <w:t>项目合同价：149.65万元，已支付</w:t>
      </w:r>
      <w:r>
        <w:rPr>
          <w:rFonts w:hint="eastAsia" w:ascii="楷体_GB2312" w:hAnsi="楷体_GB2312" w:eastAsia="楷体_GB2312" w:cs="楷体_GB2312"/>
          <w:b/>
          <w:bCs/>
          <w:color w:val="auto"/>
          <w:kern w:val="2"/>
          <w:sz w:val="32"/>
          <w:szCs w:val="32"/>
          <w:lang w:val="en-US" w:eastAsia="zh-CN" w:bidi="ar-SA"/>
        </w:rPr>
        <w:t>：</w:t>
      </w:r>
      <w:r>
        <w:rPr>
          <w:rFonts w:hint="eastAsia" w:ascii="仿宋_GB2312" w:hAnsi="仿宋_GB2312" w:eastAsia="仿宋_GB2312" w:cs="仿宋_GB2312"/>
          <w:color w:val="auto"/>
          <w:sz w:val="32"/>
          <w:szCs w:val="32"/>
          <w:lang w:val="en-US" w:eastAsia="zh-CN"/>
        </w:rPr>
        <w:t>134.6</w:t>
      </w:r>
      <w:r>
        <w:rPr>
          <w:rFonts w:hint="eastAsia" w:ascii="仿宋_GB2312" w:hAnsi="Times New Roman" w:cs="仿宋_GB2312"/>
          <w:color w:val="auto"/>
          <w:sz w:val="32"/>
          <w:szCs w:val="32"/>
          <w:highlight w:val="none"/>
          <w:lang w:val="en-US" w:eastAsia="zh-CN"/>
        </w:rPr>
        <w:t>85万元，未支付:3%的质保金4.4895万元。</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4.49</w:t>
      </w:r>
      <w:r>
        <w:rPr>
          <w:rFonts w:hint="eastAsia" w:ascii="仿宋_GB2312" w:cs="仿宋_GB2312"/>
          <w:color w:val="auto"/>
          <w:sz w:val="32"/>
          <w:szCs w:val="32"/>
          <w:highlight w:val="none"/>
        </w:rPr>
        <w:t>分。</w:t>
      </w:r>
    </w:p>
    <w:p w14:paraId="64A8865C">
      <w:pPr>
        <w:pStyle w:val="4"/>
        <w:spacing w:line="600" w:lineRule="exact"/>
        <w:ind w:left="560" w:leftChars="200" w:firstLine="0" w:firstLineChars="0"/>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）项目效益情况</w:t>
      </w:r>
    </w:p>
    <w:p w14:paraId="7FC0149A">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color w:val="auto"/>
          <w:sz w:val="32"/>
          <w:szCs w:val="32"/>
          <w:highlight w:val="none"/>
          <w:u w:color="000000"/>
          <w:lang w:val="zh-TW" w:eastAsia="zh-TW"/>
        </w:rPr>
        <w:t>项目</w:t>
      </w:r>
      <w:r>
        <w:rPr>
          <w:rFonts w:hint="eastAsia" w:ascii="仿宋_GB2312"/>
          <w:color w:val="auto"/>
          <w:sz w:val="32"/>
          <w:szCs w:val="32"/>
          <w:highlight w:val="none"/>
        </w:rPr>
        <w:t>效益</w:t>
      </w:r>
      <w:r>
        <w:rPr>
          <w:rFonts w:hint="eastAsia"/>
          <w:color w:val="auto"/>
          <w:sz w:val="32"/>
          <w:szCs w:val="32"/>
          <w:highlight w:val="none"/>
          <w:u w:color="000000"/>
          <w:lang w:val="zh-TW" w:eastAsia="zh-TW"/>
        </w:rPr>
        <w:t>类指标由社会效益等1个二级指标和1个三级指标构成，</w:t>
      </w:r>
      <w:r>
        <w:rPr>
          <w:rFonts w:hint="eastAsia" w:ascii="仿宋_GB2312" w:cs="仿宋_GB2312"/>
          <w:color w:val="auto"/>
          <w:sz w:val="32"/>
          <w:szCs w:val="32"/>
          <w:highlight w:val="none"/>
        </w:rPr>
        <w:t>权重分为</w:t>
      </w:r>
      <w:r>
        <w:rPr>
          <w:rFonts w:hint="eastAsia" w:ascii="仿宋_GB2312" w:cs="仿宋_GB2312"/>
          <w:color w:val="auto"/>
          <w:sz w:val="32"/>
          <w:szCs w:val="32"/>
          <w:highlight w:val="none"/>
          <w:lang w:val="en-US" w:eastAsia="zh-CN"/>
        </w:rPr>
        <w:t>2</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20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20269052">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1.</w:t>
      </w:r>
      <w:r>
        <w:rPr>
          <w:rFonts w:hint="eastAsia" w:ascii="仿宋_GB2312"/>
          <w:b/>
          <w:bCs/>
          <w:color w:val="auto"/>
          <w:sz w:val="32"/>
          <w:szCs w:val="32"/>
          <w:highlight w:val="none"/>
        </w:rPr>
        <w:t>社会效益指标</w:t>
      </w:r>
    </w:p>
    <w:p w14:paraId="3CA70E36">
      <w:pPr>
        <w:spacing w:line="600" w:lineRule="exact"/>
        <w:ind w:firstLine="640"/>
        <w:rPr>
          <w:color w:val="auto"/>
          <w:highlight w:val="none"/>
        </w:rPr>
      </w:pP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完善托育机构服务基础设施条件</w:t>
      </w:r>
      <w:r>
        <w:rPr>
          <w:rFonts w:hint="eastAsia" w:ascii="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不断提高</w:t>
      </w:r>
      <w:r>
        <w:rPr>
          <w:rFonts w:hint="eastAsia" w:ascii="仿宋_GB2312"/>
          <w:color w:val="auto"/>
          <w:sz w:val="32"/>
          <w:szCs w:val="32"/>
          <w:highlight w:val="none"/>
          <w:lang w:eastAsia="zh-Hans"/>
        </w:rPr>
        <w:t>”，</w:t>
      </w:r>
      <w:r>
        <w:rPr>
          <w:rFonts w:hint="eastAsia"/>
          <w:color w:val="auto"/>
          <w:sz w:val="32"/>
          <w:szCs w:val="32"/>
          <w:highlight w:val="none"/>
        </w:rPr>
        <w:t>根据</w:t>
      </w:r>
      <w:r>
        <w:rPr>
          <w:rFonts w:hint="eastAsia" w:ascii="仿宋_GB2312"/>
          <w:color w:val="auto"/>
          <w:sz w:val="32"/>
          <w:szCs w:val="32"/>
          <w:highlight w:val="none"/>
          <w:lang w:eastAsia="zh-Hans"/>
        </w:rPr>
        <w:t>本单位</w:t>
      </w:r>
      <w:r>
        <w:rPr>
          <w:rFonts w:hint="eastAsia" w:ascii="仿宋_GB2312"/>
          <w:color w:val="auto"/>
          <w:sz w:val="32"/>
          <w:szCs w:val="32"/>
          <w:highlight w:val="none"/>
          <w:lang w:eastAsia="zh-CN"/>
        </w:rPr>
        <w:t>工作总结</w:t>
      </w:r>
      <w:r>
        <w:rPr>
          <w:rFonts w:hint="eastAsia"/>
          <w:color w:val="auto"/>
          <w:sz w:val="32"/>
          <w:szCs w:val="32"/>
          <w:highlight w:val="none"/>
        </w:rPr>
        <w:t>，实际完成值为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基本达成目标</w:t>
      </w:r>
      <w:r>
        <w:rPr>
          <w:rFonts w:hint="eastAsia" w:ascii="仿宋_GB2312"/>
          <w:color w:val="auto"/>
          <w:sz w:val="32"/>
          <w:szCs w:val="32"/>
          <w:highlight w:val="none"/>
          <w:lang w:eastAsia="zh-Hans"/>
        </w:rPr>
        <w:t>”</w:t>
      </w:r>
      <w:r>
        <w:rPr>
          <w:rFonts w:hint="eastAsia" w:ascii="仿宋_GB2312"/>
          <w:color w:val="auto"/>
          <w:sz w:val="32"/>
          <w:szCs w:val="32"/>
          <w:highlight w:val="none"/>
          <w:lang w:eastAsia="zh-CN"/>
        </w:rPr>
        <w:t>，</w:t>
      </w:r>
      <w:r>
        <w:rPr>
          <w:rFonts w:hint="eastAsia" w:ascii="仿宋_GB2312"/>
          <w:color w:val="auto"/>
          <w:sz w:val="32"/>
          <w:szCs w:val="32"/>
          <w:highlight w:val="none"/>
        </w:rPr>
        <w:t>根据评分标准，该指标</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分，得</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w:t>
      </w:r>
    </w:p>
    <w:p w14:paraId="24D09008">
      <w:pPr>
        <w:spacing w:line="600" w:lineRule="exact"/>
        <w:ind w:firstLine="640"/>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2.</w:t>
      </w:r>
      <w:r>
        <w:rPr>
          <w:rFonts w:hint="eastAsia" w:ascii="仿宋_GB2312"/>
          <w:b/>
          <w:bCs/>
          <w:color w:val="auto"/>
          <w:sz w:val="32"/>
          <w:szCs w:val="32"/>
          <w:highlight w:val="none"/>
        </w:rPr>
        <w:t>经济效益指标</w:t>
      </w:r>
    </w:p>
    <w:p w14:paraId="0AC3EDB9">
      <w:pPr>
        <w:spacing w:line="600" w:lineRule="exact"/>
        <w:ind w:firstLine="640"/>
        <w:rPr>
          <w:rFonts w:hint="eastAsia" w:ascii="仿宋_GB2312"/>
          <w:color w:val="auto"/>
          <w:sz w:val="32"/>
          <w:szCs w:val="32"/>
          <w:highlight w:val="none"/>
        </w:rPr>
      </w:pP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14:paraId="14B599FE">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3.</w:t>
      </w:r>
      <w:r>
        <w:rPr>
          <w:rFonts w:hint="eastAsia" w:ascii="仿宋_GB2312"/>
          <w:b/>
          <w:bCs/>
          <w:color w:val="auto"/>
          <w:sz w:val="32"/>
          <w:szCs w:val="32"/>
          <w:highlight w:val="none"/>
        </w:rPr>
        <w:t>生态效益指标</w:t>
      </w:r>
    </w:p>
    <w:p w14:paraId="0843BD62">
      <w:pPr>
        <w:spacing w:line="600" w:lineRule="exact"/>
        <w:ind w:firstLine="640"/>
        <w:rPr>
          <w:rFonts w:hint="eastAsia" w:ascii="仿宋_GB2312"/>
          <w:color w:val="auto"/>
          <w:sz w:val="32"/>
          <w:szCs w:val="32"/>
          <w:highlight w:val="none"/>
          <w:lang w:eastAsia="zh-CN"/>
        </w:rPr>
      </w:pPr>
      <w:r>
        <w:rPr>
          <w:rFonts w:hint="eastAsia" w:ascii="仿宋_GB2312"/>
          <w:color w:val="auto"/>
          <w:sz w:val="32"/>
          <w:szCs w:val="32"/>
          <w:highlight w:val="none"/>
          <w:lang w:eastAsia="zh-Hans"/>
        </w:rPr>
        <w:t>本项目无该项指标。</w:t>
      </w:r>
    </w:p>
    <w:p w14:paraId="67299A4E">
      <w:pPr>
        <w:pStyle w:val="4"/>
        <w:spacing w:line="600" w:lineRule="exact"/>
        <w:ind w:left="560" w:leftChars="200" w:firstLine="0" w:firstLineChars="0"/>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14:paraId="30D2B3DD">
      <w:pPr>
        <w:pStyle w:val="22"/>
        <w:spacing w:line="600" w:lineRule="exact"/>
        <w:ind w:firstLine="640"/>
        <w:rPr>
          <w:rFonts w:hint="eastAsia" w:ascii="仿宋_GB2312" w:cs="仿宋_GB2312"/>
          <w:color w:val="auto"/>
          <w:kern w:val="2"/>
          <w:sz w:val="32"/>
          <w:szCs w:val="32"/>
          <w:highlight w:val="none"/>
        </w:rPr>
      </w:pPr>
      <w:bookmarkStart w:id="15" w:name="_Toc28290"/>
      <w:bookmarkStart w:id="16" w:name="_Toc1921"/>
      <w:r>
        <w:rPr>
          <w:rFonts w:hint="eastAsia" w:ascii="仿宋_GB2312" w:cs="仿宋_GB2312"/>
          <w:color w:val="auto"/>
          <w:kern w:val="2"/>
          <w:sz w:val="32"/>
          <w:szCs w:val="32"/>
          <w:highlight w:val="none"/>
        </w:rPr>
        <w:t>“</w:t>
      </w:r>
      <w:r>
        <w:rPr>
          <w:rFonts w:hint="eastAsia" w:ascii="仿宋_GB2312" w:cs="仿宋_GB2312"/>
          <w:color w:val="auto"/>
          <w:kern w:val="2"/>
          <w:sz w:val="32"/>
          <w:szCs w:val="32"/>
          <w:highlight w:val="none"/>
          <w:lang w:val="en-US" w:eastAsia="zh-CN"/>
        </w:rPr>
        <w:t>服务群众满意度</w:t>
      </w:r>
      <w:r>
        <w:rPr>
          <w:rFonts w:hint="eastAsia" w:ascii="仿宋_GB2312" w:cs="仿宋_GB2312"/>
          <w:color w:val="auto"/>
          <w:kern w:val="2"/>
          <w:sz w:val="32"/>
          <w:szCs w:val="32"/>
          <w:highlight w:val="none"/>
          <w:lang w:eastAsia="zh-Hans"/>
        </w:rPr>
        <w:t>”</w:t>
      </w:r>
      <w:r>
        <w:rPr>
          <w:rFonts w:hint="eastAsia" w:ascii="仿宋_GB2312" w:hAnsi="仿宋_GB2312" w:cs="仿宋_GB2312"/>
          <w:color w:val="auto"/>
          <w:kern w:val="2"/>
          <w:sz w:val="32"/>
          <w:szCs w:val="32"/>
          <w:highlight w:val="none"/>
          <w:lang w:eastAsia="zh-Hans"/>
        </w:rPr>
        <w:t>指标，预期指标值为</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CN"/>
        </w:rPr>
        <w:t>大于等于</w:t>
      </w:r>
      <w:r>
        <w:rPr>
          <w:rFonts w:hint="eastAsia" w:ascii="仿宋_GB2312" w:cs="仿宋_GB2312"/>
          <w:color w:val="auto"/>
          <w:kern w:val="2"/>
          <w:sz w:val="32"/>
          <w:szCs w:val="32"/>
          <w:highlight w:val="none"/>
          <w:lang w:val="en-US" w:eastAsia="zh-CN"/>
        </w:rPr>
        <w:t>90</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”，根据对</w:t>
      </w:r>
      <w:r>
        <w:rPr>
          <w:rFonts w:hint="eastAsia" w:ascii="仿宋_GB2312" w:cs="仿宋_GB2312"/>
          <w:color w:val="auto"/>
          <w:kern w:val="2"/>
          <w:sz w:val="32"/>
          <w:szCs w:val="32"/>
          <w:highlight w:val="none"/>
          <w:lang w:val="en-US" w:eastAsia="zh-CN"/>
        </w:rPr>
        <w:t>服务群众</w:t>
      </w:r>
      <w:r>
        <w:rPr>
          <w:rFonts w:hint="eastAsia" w:ascii="仿宋_GB2312" w:cs="仿宋_GB2312"/>
          <w:color w:val="auto"/>
          <w:kern w:val="2"/>
          <w:sz w:val="32"/>
          <w:szCs w:val="32"/>
          <w:highlight w:val="none"/>
          <w:lang w:eastAsia="zh-Hans"/>
        </w:rPr>
        <w:t>进行满意度问卷调查的结果可知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val="en-US" w:eastAsia="zh-CN"/>
        </w:rPr>
        <w:t>服务群众</w:t>
      </w:r>
      <w:r>
        <w:rPr>
          <w:rFonts w:hint="eastAsia" w:ascii="仿宋_GB2312" w:cs="仿宋_GB2312"/>
          <w:color w:val="auto"/>
          <w:kern w:val="2"/>
          <w:sz w:val="32"/>
          <w:szCs w:val="32"/>
          <w:highlight w:val="none"/>
          <w:lang w:eastAsia="zh-Hans"/>
        </w:rPr>
        <w:t>满意度达</w:t>
      </w:r>
      <w:r>
        <w:rPr>
          <w:rFonts w:hint="eastAsia" w:ascii="仿宋_GB2312" w:cs="仿宋_GB2312"/>
          <w:color w:val="auto"/>
          <w:kern w:val="2"/>
          <w:sz w:val="32"/>
          <w:szCs w:val="32"/>
          <w:highlight w:val="none"/>
          <w:lang w:val="en-US" w:eastAsia="zh-CN"/>
        </w:rPr>
        <w:t>90</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w:t>
      </w:r>
    </w:p>
    <w:p w14:paraId="60D26A5E">
      <w:pPr>
        <w:pStyle w:val="3"/>
        <w:spacing w:line="600" w:lineRule="exact"/>
        <w:ind w:firstLine="640"/>
        <w:rPr>
          <w:color w:val="auto"/>
          <w:szCs w:val="32"/>
          <w:highlight w:val="none"/>
        </w:rPr>
      </w:pPr>
      <w:r>
        <w:rPr>
          <w:rFonts w:hint="eastAsia"/>
          <w:color w:val="auto"/>
          <w:szCs w:val="32"/>
          <w:highlight w:val="none"/>
        </w:rPr>
        <w:t>五、预算执行进度与绩效指标偏差情况</w:t>
      </w:r>
    </w:p>
    <w:p w14:paraId="68EB29CA">
      <w:pPr>
        <w:pStyle w:val="4"/>
        <w:numPr>
          <w:ilvl w:val="0"/>
          <w:numId w:val="7"/>
        </w:numPr>
        <w:spacing w:line="600" w:lineRule="exact"/>
        <w:ind w:firstLine="643"/>
        <w:rPr>
          <w:rFonts w:hint="eastAsia" w:ascii="楷体_GB2312" w:eastAsia="楷体_GB2312"/>
          <w:color w:val="auto"/>
          <w:szCs w:val="32"/>
          <w:highlight w:val="none"/>
          <w:lang w:eastAsia="zh-Hans"/>
        </w:rPr>
      </w:pPr>
      <w:r>
        <w:rPr>
          <w:rFonts w:hint="eastAsia" w:ascii="楷体_GB2312" w:eastAsia="楷体_GB2312"/>
          <w:color w:val="auto"/>
          <w:szCs w:val="32"/>
          <w:highlight w:val="none"/>
          <w:lang w:eastAsia="zh-Hans"/>
        </w:rPr>
        <w:t>预算执行进度</w:t>
      </w:r>
    </w:p>
    <w:p w14:paraId="3D083285">
      <w:pPr>
        <w:rPr>
          <w:rFonts w:hint="default" w:ascii="仿宋_GB2312" w:eastAsia="仿宋_GB2312"/>
          <w:color w:val="auto"/>
          <w:sz w:val="32"/>
          <w:szCs w:val="32"/>
          <w:highlight w:val="none"/>
          <w:lang w:val="en-US" w:eastAsia="zh-CN"/>
        </w:rPr>
      </w:pPr>
      <w:r>
        <w:rPr>
          <w:rFonts w:hint="eastAsia" w:ascii="仿宋_GB2312" w:hAnsi="Times New Roman" w:eastAsia="仿宋_GB2312" w:cs="Times New Roman"/>
          <w:color w:val="auto"/>
          <w:kern w:val="0"/>
          <w:sz w:val="32"/>
          <w:szCs w:val="32"/>
          <w:highlight w:val="none"/>
          <w:lang w:val="en-US" w:eastAsia="zh-CN" w:bidi="ar-SA"/>
        </w:rPr>
        <w:t>塔地财建[2023]39号2023年积极应对人口老龄化工程和托育建设中央基建投资项目</w:t>
      </w:r>
      <w:r>
        <w:rPr>
          <w:rFonts w:hint="eastAsia" w:ascii="仿宋_GB2312"/>
          <w:color w:val="auto"/>
          <w:sz w:val="32"/>
          <w:szCs w:val="32"/>
          <w:highlight w:val="none"/>
          <w:lang w:eastAsia="zh-Hans"/>
        </w:rPr>
        <w:t>预算金额</w:t>
      </w:r>
      <w:r>
        <w:rPr>
          <w:rFonts w:hint="eastAsia" w:ascii="仿宋_GB2312"/>
          <w:color w:val="auto"/>
          <w:sz w:val="32"/>
          <w:szCs w:val="32"/>
          <w:highlight w:val="none"/>
          <w:lang w:val="en-US" w:eastAsia="zh-CN"/>
        </w:rPr>
        <w:t>300</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300</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279.79</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，预算执行率为</w:t>
      </w:r>
      <w:r>
        <w:rPr>
          <w:rFonts w:hint="eastAsia" w:ascii="仿宋_GB2312"/>
          <w:color w:val="auto"/>
          <w:sz w:val="32"/>
          <w:szCs w:val="32"/>
          <w:highlight w:val="none"/>
          <w:lang w:val="en-US" w:eastAsia="zh-CN"/>
        </w:rPr>
        <w:t>93.26</w:t>
      </w:r>
      <w:r>
        <w:rPr>
          <w:rFonts w:hint="eastAsia" w:ascii="仿宋_GB2312"/>
          <w:color w:val="auto"/>
          <w:sz w:val="32"/>
          <w:szCs w:val="32"/>
          <w:highlight w:val="none"/>
          <w:lang w:eastAsia="zh-Hans"/>
        </w:rPr>
        <w:t>%，项目绩效指标总体完成率为</w:t>
      </w:r>
      <w:r>
        <w:rPr>
          <w:rFonts w:hint="eastAsia" w:ascii="仿宋_GB2312"/>
          <w:color w:val="auto"/>
          <w:sz w:val="32"/>
          <w:szCs w:val="32"/>
          <w:highlight w:val="none"/>
          <w:lang w:val="en-US" w:eastAsia="zh-CN"/>
        </w:rPr>
        <w:t>93.26</w:t>
      </w:r>
      <w:r>
        <w:rPr>
          <w:rFonts w:hint="eastAsia" w:ascii="仿宋_GB2312"/>
          <w:color w:val="auto"/>
          <w:sz w:val="32"/>
          <w:szCs w:val="32"/>
          <w:highlight w:val="none"/>
          <w:lang w:eastAsia="zh-Hans"/>
        </w:rPr>
        <w:t>%，偏差率为</w:t>
      </w:r>
      <w:r>
        <w:rPr>
          <w:rFonts w:hint="eastAsia" w:ascii="仿宋_GB2312"/>
          <w:color w:val="auto"/>
          <w:sz w:val="32"/>
          <w:szCs w:val="32"/>
          <w:highlight w:val="none"/>
          <w:lang w:val="en-US" w:eastAsia="zh-CN"/>
        </w:rPr>
        <w:t>6.74</w:t>
      </w:r>
      <w:r>
        <w:rPr>
          <w:rFonts w:hint="eastAsia" w:ascii="仿宋_GB2312"/>
          <w:color w:val="auto"/>
          <w:sz w:val="32"/>
          <w:szCs w:val="32"/>
          <w:highlight w:val="none"/>
          <w:lang w:eastAsia="zh-Hans"/>
        </w:rPr>
        <w:t>%</w:t>
      </w:r>
      <w:r>
        <w:rPr>
          <w:rFonts w:hint="eastAsia" w:ascii="仿宋_GB2312"/>
          <w:color w:val="auto"/>
          <w:sz w:val="32"/>
          <w:szCs w:val="32"/>
          <w:highlight w:val="none"/>
        </w:rPr>
        <w:t>,偏差原因是</w:t>
      </w:r>
      <w:r>
        <w:rPr>
          <w:rFonts w:hint="eastAsia" w:ascii="仿宋_GB2312"/>
          <w:color w:val="auto"/>
          <w:sz w:val="32"/>
          <w:szCs w:val="32"/>
          <w:highlight w:val="none"/>
          <w:lang w:eastAsia="zh-CN"/>
        </w:rPr>
        <w:t>：</w:t>
      </w:r>
      <w:r>
        <w:rPr>
          <w:rFonts w:hint="eastAsia" w:ascii="仿宋_GB2312"/>
          <w:color w:val="auto"/>
          <w:sz w:val="32"/>
          <w:szCs w:val="32"/>
          <w:highlight w:val="none"/>
          <w:lang w:val="en-US" w:eastAsia="zh-CN"/>
        </w:rPr>
        <w:t>按项目合同要求扣除3%质保金未支付。</w:t>
      </w:r>
    </w:p>
    <w:p w14:paraId="4CABED4B">
      <w:pPr>
        <w:pStyle w:val="4"/>
        <w:numPr>
          <w:ilvl w:val="0"/>
          <w:numId w:val="7"/>
        </w:numPr>
        <w:spacing w:line="600" w:lineRule="exact"/>
        <w:ind w:firstLine="643"/>
        <w:rPr>
          <w:rFonts w:ascii="仿宋_GB2312" w:hAnsi="仿宋_GB2312" w:cs="仿宋_GB2312"/>
          <w:color w:val="auto"/>
          <w:sz w:val="32"/>
          <w:szCs w:val="32"/>
          <w:highlight w:val="none"/>
          <w:lang w:eastAsia="zh-Hans"/>
        </w:rPr>
      </w:pPr>
      <w:r>
        <w:rPr>
          <w:rFonts w:hint="eastAsia" w:ascii="楷体_GB2312" w:eastAsia="楷体_GB2312"/>
          <w:color w:val="auto"/>
          <w:szCs w:val="32"/>
          <w:highlight w:val="none"/>
          <w:lang w:eastAsia="zh-Hans"/>
        </w:rPr>
        <w:t>绩效指标偏差情况</w:t>
      </w:r>
    </w:p>
    <w:p w14:paraId="24E1EB45">
      <w:pPr>
        <w:spacing w:line="600" w:lineRule="exact"/>
        <w:ind w:firstLine="640"/>
        <w:rPr>
          <w:rFonts w:ascii="仿宋_GB2312"/>
          <w:color w:val="auto"/>
          <w:sz w:val="32"/>
          <w:szCs w:val="32"/>
          <w:highlight w:val="none"/>
        </w:rPr>
      </w:pPr>
      <w:r>
        <w:rPr>
          <w:rFonts w:hint="eastAsia" w:ascii="仿宋_GB2312" w:hAnsi="Times New Roman" w:cs="Times New Roman"/>
          <w:color w:val="auto"/>
          <w:sz w:val="32"/>
          <w:szCs w:val="32"/>
          <w:highlight w:val="none"/>
        </w:rPr>
        <w:t>202</w:t>
      </w:r>
      <w:r>
        <w:rPr>
          <w:rFonts w:hint="eastAsia" w:ascii="仿宋_GB2312" w:hAnsi="Times New Roman" w:cs="Times New Roman"/>
          <w:color w:val="auto"/>
          <w:sz w:val="32"/>
          <w:szCs w:val="32"/>
          <w:highlight w:val="none"/>
          <w:lang w:val="en-US" w:eastAsia="zh-CN"/>
        </w:rPr>
        <w:t>3</w:t>
      </w:r>
      <w:r>
        <w:rPr>
          <w:rFonts w:hint="eastAsia" w:ascii="仿宋_GB2312" w:hAnsi="Times New Roman" w:cs="Times New Roman"/>
          <w:color w:val="auto"/>
          <w:sz w:val="32"/>
          <w:szCs w:val="32"/>
          <w:highlight w:val="none"/>
        </w:rPr>
        <w:t>年本单位负责实施的</w:t>
      </w:r>
      <w:r>
        <w:rPr>
          <w:rFonts w:hint="eastAsia" w:ascii="仿宋_GB2312" w:hAnsi="Times New Roman" w:cs="Times New Roman"/>
          <w:color w:val="auto"/>
          <w:sz w:val="32"/>
          <w:szCs w:val="32"/>
          <w:highlight w:val="none"/>
          <w:lang w:val="en-US" w:eastAsia="zh-CN"/>
        </w:rPr>
        <w:t>塔地财建[2023]39号2023年积极应对人口老龄化工程和托育建设中央基建投资</w:t>
      </w:r>
      <w:r>
        <w:rPr>
          <w:rFonts w:hint="eastAsia" w:ascii="仿宋_GB2312" w:hAnsi="Times New Roman" w:cs="Times New Roman"/>
          <w:color w:val="auto"/>
          <w:sz w:val="32"/>
          <w:szCs w:val="32"/>
          <w:highlight w:val="none"/>
        </w:rPr>
        <w:t>项目当中，预算执行率未能</w:t>
      </w:r>
      <w:r>
        <w:rPr>
          <w:rFonts w:hint="eastAsia" w:ascii="仿宋_GB2312"/>
          <w:color w:val="auto"/>
          <w:sz w:val="32"/>
          <w:szCs w:val="32"/>
          <w:highlight w:val="none"/>
        </w:rPr>
        <w:t>达到预算指标值，存在偏差的原因如下：</w:t>
      </w:r>
    </w:p>
    <w:bookmarkEnd w:id="15"/>
    <w:bookmarkEnd w:id="16"/>
    <w:p w14:paraId="041C7761">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jc w:val="left"/>
        <w:textAlignment w:val="auto"/>
        <w:rPr>
          <w:color w:val="auto"/>
          <w:highlight w:val="none"/>
        </w:rPr>
      </w:pPr>
      <w:r>
        <w:rPr>
          <w:rFonts w:hint="eastAsia" w:ascii="仿宋_GB2312" w:cs="仿宋_GB2312"/>
          <w:color w:val="auto"/>
          <w:sz w:val="32"/>
          <w:szCs w:val="32"/>
          <w:highlight w:val="none"/>
          <w:lang w:val="en-US" w:eastAsia="zh-CN"/>
        </w:rPr>
        <w:t>经济成本1、</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塔城地区第一托育机构项目资金</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eastAsia="zh-CN"/>
        </w:rPr>
        <w:t>小于等于</w:t>
      </w:r>
      <w:r>
        <w:rPr>
          <w:rFonts w:hint="eastAsia" w:ascii="仿宋_GB2312" w:eastAsia="宋体" w:cs="仿宋_GB2312"/>
          <w:color w:val="auto"/>
          <w:sz w:val="32"/>
          <w:szCs w:val="32"/>
          <w:highlight w:val="none"/>
          <w:lang w:val="en-US" w:eastAsia="zh-CN"/>
        </w:rPr>
        <w:t>150</w:t>
      </w:r>
      <w:r>
        <w:rPr>
          <w:rFonts w:hint="eastAsia" w:ascii="仿宋_GB2312" w:hAnsi="Times New Roman" w:eastAsia="仿宋_GB2312" w:cs="仿宋_GB2312"/>
          <w:b w:val="0"/>
          <w:color w:val="auto"/>
          <w:kern w:val="2"/>
          <w:sz w:val="32"/>
          <w:szCs w:val="32"/>
          <w:highlight w:val="none"/>
          <w:lang w:val="en-US" w:eastAsia="zh-CN" w:bidi="ar-SA"/>
        </w:rPr>
        <w:t>万元</w:t>
      </w:r>
      <w:r>
        <w:rPr>
          <w:rFonts w:hint="eastAsia" w:ascii="仿宋_GB2312" w:hAnsi="Times New Roman" w:eastAsia="仿宋_GB2312" w:cs="仿宋_GB2312"/>
          <w:b w:val="0"/>
          <w:color w:val="auto"/>
          <w:kern w:val="2"/>
          <w:sz w:val="32"/>
          <w:szCs w:val="32"/>
          <w:highlight w:val="none"/>
          <w:lang w:val="en-US" w:eastAsia="zh-Hans" w:bidi="ar-SA"/>
        </w:rPr>
        <w:t>”，根据资金支付凭证显示，本</w:t>
      </w:r>
      <w:r>
        <w:rPr>
          <w:rFonts w:hint="eastAsia" w:ascii="仿宋_GB2312" w:hAnsi="Times New Roman" w:eastAsia="仿宋_GB2312" w:cs="仿宋_GB2312"/>
          <w:b w:val="0"/>
          <w:color w:val="auto"/>
          <w:kern w:val="2"/>
          <w:sz w:val="32"/>
          <w:szCs w:val="32"/>
          <w:highlight w:val="none"/>
          <w:lang w:val="en-US" w:eastAsia="zh-CN" w:bidi="ar-SA"/>
        </w:rPr>
        <w:t>项目合同价：149.600744万元，已支付：145.1127万元，未支付：3%的质保金4.4879万元。</w:t>
      </w:r>
      <w:r>
        <w:rPr>
          <w:rFonts w:hint="eastAsia" w:ascii="仿宋_GB2312" w:cs="仿宋_GB2312"/>
          <w:color w:val="auto"/>
          <w:sz w:val="32"/>
          <w:szCs w:val="32"/>
          <w:highlight w:val="none"/>
          <w:lang w:val="en-US" w:eastAsia="zh-CN"/>
        </w:rPr>
        <w:t>偏差原因是按合同扣除3%质保金未支付。</w:t>
      </w:r>
    </w:p>
    <w:p w14:paraId="224B5680">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jc w:val="left"/>
        <w:textAlignment w:val="auto"/>
        <w:rPr>
          <w:color w:val="auto"/>
          <w:highlight w:val="none"/>
        </w:rPr>
      </w:pPr>
      <w:r>
        <w:rPr>
          <w:rFonts w:hint="eastAsia" w:ascii="仿宋_GB2312" w:cs="仿宋_GB2312"/>
          <w:color w:val="auto"/>
          <w:sz w:val="32"/>
          <w:szCs w:val="32"/>
          <w:highlight w:val="none"/>
          <w:lang w:eastAsia="zh-CN"/>
        </w:rPr>
        <w:t>经济成本</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塔城地区第八托育机构项目资金</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eastAsia="zh-CN"/>
        </w:rPr>
        <w:t>小于等</w:t>
      </w:r>
      <w:r>
        <w:rPr>
          <w:rFonts w:hint="eastAsia" w:ascii="仿宋_GB2312" w:hAnsi="Times New Roman" w:cs="仿宋_GB2312"/>
          <w:color w:val="auto"/>
          <w:sz w:val="32"/>
          <w:szCs w:val="32"/>
          <w:highlight w:val="none"/>
          <w:lang w:val="en-US" w:eastAsia="zh-CN"/>
        </w:rPr>
        <w:t>于150万元</w:t>
      </w:r>
      <w:r>
        <w:rPr>
          <w:rFonts w:hint="eastAsia" w:ascii="仿宋_GB2312" w:hAnsi="Times New Roman" w:cs="仿宋_GB2312"/>
          <w:color w:val="auto"/>
          <w:sz w:val="32"/>
          <w:szCs w:val="32"/>
          <w:highlight w:val="none"/>
          <w:lang w:val="en-US" w:eastAsia="zh-Hans"/>
        </w:rPr>
        <w:t>”，根据资金支付凭证显示，本</w:t>
      </w:r>
      <w:r>
        <w:rPr>
          <w:rFonts w:hint="eastAsia" w:ascii="仿宋_GB2312" w:hAnsi="Times New Roman" w:cs="仿宋_GB2312"/>
          <w:color w:val="auto"/>
          <w:sz w:val="32"/>
          <w:szCs w:val="32"/>
          <w:highlight w:val="none"/>
          <w:lang w:val="en-US" w:eastAsia="zh-CN"/>
        </w:rPr>
        <w:t>项目合同价：149.65万元，已支付</w:t>
      </w:r>
      <w:r>
        <w:rPr>
          <w:rFonts w:hint="eastAsia" w:ascii="楷体_GB2312" w:hAnsi="楷体_GB2312" w:eastAsia="楷体_GB2312" w:cs="楷体_GB2312"/>
          <w:b/>
          <w:bCs/>
          <w:color w:val="auto"/>
          <w:kern w:val="2"/>
          <w:sz w:val="32"/>
          <w:szCs w:val="32"/>
          <w:lang w:val="en-US" w:eastAsia="zh-CN" w:bidi="ar-SA"/>
        </w:rPr>
        <w:t>：</w:t>
      </w:r>
      <w:r>
        <w:rPr>
          <w:rFonts w:hint="eastAsia" w:ascii="仿宋_GB2312" w:hAnsi="仿宋_GB2312" w:eastAsia="仿宋_GB2312" w:cs="仿宋_GB2312"/>
          <w:color w:val="auto"/>
          <w:sz w:val="32"/>
          <w:szCs w:val="32"/>
          <w:lang w:val="en-US" w:eastAsia="zh-CN"/>
        </w:rPr>
        <w:t>134.6</w:t>
      </w:r>
      <w:r>
        <w:rPr>
          <w:rFonts w:hint="eastAsia" w:ascii="仿宋_GB2312" w:hAnsi="Times New Roman" w:cs="仿宋_GB2312"/>
          <w:color w:val="auto"/>
          <w:sz w:val="32"/>
          <w:szCs w:val="32"/>
          <w:highlight w:val="none"/>
          <w:lang w:val="en-US" w:eastAsia="zh-CN"/>
        </w:rPr>
        <w:t>85万元，未支付:3%的质保金4.4895万元。</w:t>
      </w:r>
      <w:r>
        <w:rPr>
          <w:rFonts w:hint="eastAsia" w:ascii="仿宋_GB2312" w:cs="仿宋_GB2312"/>
          <w:color w:val="auto"/>
          <w:sz w:val="32"/>
          <w:szCs w:val="32"/>
          <w:highlight w:val="none"/>
          <w:lang w:val="en-US" w:eastAsia="zh-CN"/>
        </w:rPr>
        <w:t>偏差原因是按合同扣除3%质保金未支付。</w:t>
      </w:r>
    </w:p>
    <w:p w14:paraId="39588412">
      <w:pPr>
        <w:pStyle w:val="3"/>
        <w:spacing w:line="600" w:lineRule="exact"/>
        <w:ind w:firstLine="640"/>
        <w:rPr>
          <w:color w:val="auto"/>
          <w:szCs w:val="32"/>
          <w:highlight w:val="none"/>
        </w:rPr>
      </w:pPr>
      <w:r>
        <w:rPr>
          <w:rFonts w:hint="eastAsia"/>
          <w:color w:val="auto"/>
          <w:szCs w:val="32"/>
          <w:highlight w:val="none"/>
        </w:rPr>
        <w:t>六、主要经验及做法</w:t>
      </w:r>
      <w:r>
        <w:rPr>
          <w:color w:val="auto"/>
          <w:szCs w:val="32"/>
          <w:highlight w:val="none"/>
        </w:rPr>
        <w:t>、</w:t>
      </w:r>
      <w:r>
        <w:rPr>
          <w:rFonts w:hint="eastAsia"/>
          <w:color w:val="auto"/>
          <w:szCs w:val="32"/>
          <w:highlight w:val="none"/>
        </w:rPr>
        <w:t>存在的问题及原因分析</w:t>
      </w:r>
    </w:p>
    <w:p w14:paraId="3DE1DBBF">
      <w:pPr>
        <w:pStyle w:val="24"/>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（一）主要经验及做法</w:t>
      </w:r>
    </w:p>
    <w:p w14:paraId="06F8A6B1">
      <w:pPr>
        <w:pStyle w:val="22"/>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1.聚焦重点任务，推动项目工作落地落实</w:t>
      </w:r>
    </w:p>
    <w:p w14:paraId="7F1E7A5B">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为有效推进项目工作开展，提高财政资金使用效益，项目领导小组进一步强化项目意识，</w:t>
      </w:r>
      <w:r>
        <w:rPr>
          <w:rFonts w:hint="eastAsia" w:ascii="仿宋_GB2312"/>
          <w:bCs/>
          <w:color w:val="auto"/>
          <w:spacing w:val="-4"/>
          <w:sz w:val="32"/>
          <w:szCs w:val="32"/>
          <w:highlight w:val="none"/>
          <w:lang w:eastAsia="zh-Hans"/>
        </w:rPr>
        <w:t>单位领导对此项工作的较重视，使单位各个科室对此项工作引起高度重视</w:t>
      </w:r>
      <w:r>
        <w:rPr>
          <w:rFonts w:hint="eastAsia" w:ascii="仿宋_GB2312"/>
          <w:bCs/>
          <w:color w:val="auto"/>
          <w:spacing w:val="-4"/>
          <w:sz w:val="32"/>
          <w:szCs w:val="32"/>
          <w:highlight w:val="none"/>
          <w:lang w:eastAsia="zh-CN"/>
        </w:rPr>
        <w:t>，</w:t>
      </w:r>
      <w:r>
        <w:rPr>
          <w:rFonts w:hint="eastAsia" w:ascii="仿宋_GB2312" w:hAnsi="仿宋_GB2312" w:cs="仿宋_GB2312"/>
          <w:color w:val="auto"/>
          <w:sz w:val="32"/>
          <w:szCs w:val="32"/>
          <w:highlight w:val="none"/>
        </w:rPr>
        <w:t>一项一项抓好具体落实，确保了项目按时保质完成，保障了项目效益发挥。</w:t>
      </w:r>
    </w:p>
    <w:p w14:paraId="403F9E36">
      <w:pPr>
        <w:pStyle w:val="22"/>
        <w:spacing w:line="600" w:lineRule="exact"/>
        <w:ind w:firstLine="643"/>
        <w:rPr>
          <w:rFonts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rPr>
        <w:t>2.</w:t>
      </w:r>
      <w:bookmarkStart w:id="17" w:name="_Toc68364674"/>
      <w:r>
        <w:rPr>
          <w:rFonts w:hint="eastAsia" w:ascii="仿宋_GB2312" w:hAnsi="仿宋_GB2312" w:cs="仿宋_GB2312"/>
          <w:b/>
          <w:bCs/>
          <w:color w:val="auto"/>
          <w:sz w:val="32"/>
          <w:szCs w:val="32"/>
          <w:highlight w:val="none"/>
        </w:rPr>
        <w:t>坚持问题导向，加强执行监控，提高资金效益</w:t>
      </w:r>
    </w:p>
    <w:p w14:paraId="60910E17">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cs="仿宋_GB2312"/>
          <w:color w:val="auto"/>
          <w:sz w:val="32"/>
          <w:szCs w:val="32"/>
          <w:highlight w:val="none"/>
        </w:rPr>
        <w:t>有效</w:t>
      </w:r>
      <w:r>
        <w:rPr>
          <w:rFonts w:hint="eastAsia" w:ascii="仿宋_GB2312" w:hAnsi="仿宋_GB2312" w:cs="仿宋_GB2312"/>
          <w:color w:val="auto"/>
          <w:sz w:val="32"/>
          <w:szCs w:val="32"/>
          <w:highlight w:val="none"/>
          <w:lang w:val="en-US" w:eastAsia="zh-CN"/>
        </w:rPr>
        <w:t>地</w:t>
      </w:r>
      <w:r>
        <w:rPr>
          <w:rFonts w:hint="eastAsia" w:ascii="仿宋_GB2312" w:hAnsi="仿宋_GB2312" w:cs="仿宋_GB2312"/>
          <w:color w:val="auto"/>
          <w:sz w:val="32"/>
          <w:szCs w:val="32"/>
          <w:highlight w:val="none"/>
        </w:rPr>
        <w:t>降低</w:t>
      </w:r>
      <w:r>
        <w:rPr>
          <w:rFonts w:hint="eastAsia" w:ascii="仿宋_GB2312" w:hAnsi="仿宋_GB2312" w:cs="仿宋_GB2312"/>
          <w:color w:val="auto"/>
          <w:sz w:val="32"/>
          <w:szCs w:val="32"/>
          <w:highlight w:val="none"/>
          <w:lang w:val="en-US" w:eastAsia="zh-CN"/>
        </w:rPr>
        <w:t>了</w:t>
      </w:r>
      <w:r>
        <w:rPr>
          <w:rFonts w:hint="eastAsia" w:ascii="仿宋_GB2312" w:hAnsi="仿宋_GB2312" w:cs="仿宋_GB2312"/>
          <w:color w:val="auto"/>
          <w:sz w:val="32"/>
          <w:szCs w:val="32"/>
          <w:highlight w:val="none"/>
        </w:rPr>
        <w:t>资金偏离政策目标的风险，提高了资金使用效益。</w:t>
      </w:r>
    </w:p>
    <w:p w14:paraId="36DF37B2">
      <w:pPr>
        <w:pStyle w:val="22"/>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lang w:val="en-US" w:eastAsia="zh-CN"/>
        </w:rPr>
        <w:t>3</w:t>
      </w:r>
      <w:r>
        <w:rPr>
          <w:rFonts w:hint="eastAsia" w:ascii="仿宋_GB2312" w:hAnsi="仿宋_GB2312" w:cs="仿宋_GB2312"/>
          <w:b/>
          <w:bCs/>
          <w:color w:val="auto"/>
          <w:sz w:val="32"/>
          <w:szCs w:val="32"/>
          <w:highlight w:val="none"/>
        </w:rPr>
        <w:t>.强化绩效目标刚性约束，及时对项目进行跟踪问效</w:t>
      </w:r>
    </w:p>
    <w:p w14:paraId="338B6845">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为</w:t>
      </w:r>
      <w:r>
        <w:rPr>
          <w:rFonts w:hint="eastAsia" w:ascii="仿宋_GB2312" w:hAnsi="仿宋_GB2312" w:cs="仿宋_GB2312"/>
          <w:color w:val="auto"/>
          <w:sz w:val="32"/>
          <w:szCs w:val="32"/>
          <w:highlight w:val="none"/>
        </w:rPr>
        <w:t>确保项目按计划进行，项目资金支付安排高效、合理，杜绝截留、挤占或挪用项目资金的情况发生。</w:t>
      </w:r>
    </w:p>
    <w:bookmarkEnd w:id="17"/>
    <w:p w14:paraId="35F799DD">
      <w:pPr>
        <w:pStyle w:val="24"/>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（二）存在问题及原因分析</w:t>
      </w:r>
    </w:p>
    <w:p w14:paraId="40A82AD8">
      <w:pPr>
        <w:pStyle w:val="22"/>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1.绩效预算认识不够充分，绩效理念有待进一步强化</w:t>
      </w:r>
    </w:p>
    <w:p w14:paraId="472898DD">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34722333">
      <w:pPr>
        <w:pStyle w:val="22"/>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2.绩效档案归档工作有待提高</w:t>
      </w:r>
    </w:p>
    <w:p w14:paraId="26097A18">
      <w:pPr>
        <w:spacing w:line="600" w:lineRule="exact"/>
        <w:ind w:firstLine="640"/>
        <w:rPr>
          <w:rFonts w:ascii="仿宋_GB2312" w:hAnsi="仿宋_GB2312" w:cs="仿宋_GB2312"/>
          <w:color w:val="auto"/>
          <w:sz w:val="32"/>
          <w:highlight w:val="none"/>
        </w:rPr>
      </w:pPr>
      <w:r>
        <w:rPr>
          <w:rFonts w:hint="eastAsia" w:ascii="仿宋_GB2312" w:hAnsi="仿宋_GB2312" w:cs="仿宋_GB2312"/>
          <w:color w:val="auto"/>
          <w:kern w:val="0"/>
          <w:sz w:val="32"/>
          <w:szCs w:val="32"/>
          <w:highlight w:val="none"/>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highlight w:val="none"/>
        </w:rPr>
        <w:t>理与实际业务存在一定偏差，未发挥其综合价值。</w:t>
      </w:r>
    </w:p>
    <w:p w14:paraId="188B9AF4">
      <w:pPr>
        <w:pStyle w:val="22"/>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3.项目支出绩效评价存在局限，客观性有待加强</w:t>
      </w:r>
    </w:p>
    <w:p w14:paraId="12990EB4">
      <w:pPr>
        <w:pStyle w:val="23"/>
        <w:spacing w:line="600" w:lineRule="exact"/>
        <w:ind w:firstLine="640"/>
        <w:rPr>
          <w:rFonts w:ascii="仿宋_GB2312" w:hAnsi="仿宋_GB2312" w:cs="仿宋_GB2312"/>
          <w:color w:val="auto"/>
          <w:kern w:val="0"/>
          <w:sz w:val="32"/>
          <w:szCs w:val="32"/>
          <w:highlight w:val="none"/>
        </w:rPr>
      </w:pPr>
      <w:r>
        <w:rPr>
          <w:rFonts w:hint="eastAsia" w:ascii="仿宋_GB2312" w:hAnsi="仿宋_GB2312" w:cs="仿宋_GB2312"/>
          <w:color w:val="auto"/>
          <w:kern w:val="0"/>
          <w:sz w:val="32"/>
          <w:szCs w:val="32"/>
          <w:highlight w:val="none"/>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034D88FC">
      <w:pPr>
        <w:pStyle w:val="3"/>
        <w:spacing w:line="600" w:lineRule="exact"/>
        <w:ind w:firstLine="640"/>
        <w:rPr>
          <w:color w:val="auto"/>
          <w:szCs w:val="32"/>
          <w:highlight w:val="none"/>
        </w:rPr>
      </w:pPr>
      <w:r>
        <w:rPr>
          <w:rFonts w:hint="eastAsia"/>
          <w:color w:val="auto"/>
          <w:szCs w:val="32"/>
          <w:highlight w:val="none"/>
        </w:rPr>
        <w:t>七、</w:t>
      </w:r>
      <w:r>
        <w:rPr>
          <w:rFonts w:hint="eastAsia"/>
          <w:color w:val="auto"/>
          <w:szCs w:val="32"/>
          <w:highlight w:val="none"/>
          <w:lang w:eastAsia="zh-Hans"/>
        </w:rPr>
        <w:t>有关建议</w:t>
      </w:r>
    </w:p>
    <w:p w14:paraId="7C964B57">
      <w:pPr>
        <w:pStyle w:val="22"/>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1.加强培训，提高相关人员工作水平</w:t>
      </w:r>
    </w:p>
    <w:p w14:paraId="4EF17C05">
      <w:pPr>
        <w:pStyle w:val="22"/>
        <w:spacing w:line="600" w:lineRule="exact"/>
        <w:ind w:firstLine="640"/>
        <w:rPr>
          <w:color w:val="auto"/>
          <w:sz w:val="32"/>
          <w:szCs w:val="32"/>
          <w:highlight w:val="none"/>
        </w:rPr>
      </w:pPr>
      <w:r>
        <w:rPr>
          <w:rFonts w:hint="eastAsia"/>
          <w:color w:val="auto"/>
          <w:sz w:val="32"/>
          <w:szCs w:val="32"/>
          <w:highlight w:val="none"/>
        </w:rPr>
        <w:t>采取多种培训形式对单位财务人员、业务科室人员进行集中培训，进一步树牢绩效观念，提高本单位工作人员的绩效管理能力和工作水平，为预算绩效管理相关工作的顺利开展提供保障。</w:t>
      </w:r>
    </w:p>
    <w:p w14:paraId="16CED07D">
      <w:pPr>
        <w:pStyle w:val="22"/>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2.扎实推进档案规范化建设，提升档案管理水平</w:t>
      </w:r>
    </w:p>
    <w:p w14:paraId="0CB600B5">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47BF0CE1">
      <w:pPr>
        <w:pStyle w:val="22"/>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3. 高度重视，加强领导</w:t>
      </w:r>
    </w:p>
    <w:p w14:paraId="2B6BCCB3">
      <w:pPr>
        <w:pStyle w:val="22"/>
        <w:spacing w:line="600" w:lineRule="exact"/>
        <w:ind w:firstLine="640"/>
        <w:rPr>
          <w:rFonts w:hint="eastAsia" w:ascii="仿宋_GB2312" w:hAnsi="仿宋_GB2312" w:cs="仿宋_GB2312"/>
          <w:color w:val="auto"/>
          <w:sz w:val="32"/>
          <w:szCs w:val="32"/>
          <w:highlight w:val="none"/>
        </w:rPr>
      </w:pPr>
      <w:r>
        <w:rPr>
          <w:rFonts w:hint="eastAsia" w:ascii="仿宋_GB2312"/>
          <w:color w:val="auto"/>
          <w:sz w:val="32"/>
          <w:szCs w:val="32"/>
          <w:highlight w:val="none"/>
        </w:rPr>
        <w:t>高度重视，加强领导，精心组织。项目</w:t>
      </w:r>
      <w:r>
        <w:rPr>
          <w:rFonts w:hint="eastAsia" w:ascii="仿宋_GB2312"/>
          <w:color w:val="auto"/>
          <w:sz w:val="32"/>
          <w:szCs w:val="32"/>
          <w:highlight w:val="none"/>
        </w:rPr>
        <w:t>绩效</w:t>
      </w:r>
      <w:r>
        <w:rPr>
          <w:rFonts w:hint="eastAsia" w:ascii="仿宋_GB2312"/>
          <w:color w:val="auto"/>
          <w:sz w:val="32"/>
          <w:szCs w:val="32"/>
          <w:highlight w:val="none"/>
          <w:lang w:val="en-US" w:eastAsia="zh-CN"/>
        </w:rPr>
        <w:t>评价</w:t>
      </w:r>
      <w:r>
        <w:rPr>
          <w:rFonts w:hint="eastAsia" w:ascii="仿宋_GB2312"/>
          <w:color w:val="auto"/>
          <w:sz w:val="32"/>
          <w:szCs w:val="32"/>
          <w:highlight w:val="none"/>
        </w:rPr>
        <w:t>领导</w:t>
      </w:r>
      <w:r>
        <w:rPr>
          <w:rFonts w:hint="eastAsia" w:ascii="仿宋_GB2312"/>
          <w:color w:val="auto"/>
          <w:sz w:val="32"/>
          <w:szCs w:val="32"/>
          <w:highlight w:val="none"/>
        </w:rPr>
        <w:t>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highlight w:val="none"/>
        </w:rPr>
        <w:t>客观性和公正性。</w:t>
      </w:r>
    </w:p>
    <w:p w14:paraId="5F1B8DE3">
      <w:pPr>
        <w:pStyle w:val="22"/>
        <w:spacing w:line="600" w:lineRule="exact"/>
        <w:ind w:firstLine="643"/>
        <w:rPr>
          <w:rFonts w:hint="default" w:ascii="仿宋_GB2312"/>
          <w:b/>
          <w:bCs/>
          <w:color w:val="auto"/>
          <w:sz w:val="32"/>
          <w:szCs w:val="32"/>
          <w:highlight w:val="none"/>
        </w:rPr>
      </w:pPr>
      <w:r>
        <w:rPr>
          <w:rFonts w:hint="eastAsia" w:ascii="仿宋_GB2312"/>
          <w:b/>
          <w:bCs/>
          <w:color w:val="auto"/>
          <w:sz w:val="32"/>
          <w:szCs w:val="32"/>
          <w:highlight w:val="none"/>
          <w:lang w:val="en-US" w:eastAsia="zh-CN"/>
        </w:rPr>
        <w:t>4.</w:t>
      </w:r>
      <w:r>
        <w:rPr>
          <w:rFonts w:hint="default" w:ascii="仿宋_GB2312"/>
          <w:b/>
          <w:bCs/>
          <w:color w:val="auto"/>
          <w:sz w:val="32"/>
          <w:szCs w:val="32"/>
          <w:highlight w:val="none"/>
        </w:rPr>
        <w:t>加大宣传力度，强化绩效理念</w:t>
      </w:r>
    </w:p>
    <w:p w14:paraId="165062B9">
      <w:pPr>
        <w:pStyle w:val="22"/>
        <w:spacing w:line="600" w:lineRule="exact"/>
        <w:ind w:firstLine="640"/>
        <w:rPr>
          <w:rFonts w:hint="eastAsia" w:ascii="仿宋_GB2312"/>
          <w:color w:val="auto"/>
          <w:sz w:val="32"/>
          <w:szCs w:val="32"/>
          <w:highlight w:val="none"/>
        </w:rPr>
      </w:pPr>
      <w:r>
        <w:rPr>
          <w:rFonts w:hint="default" w:ascii="仿宋_GB2312"/>
          <w:color w:val="auto"/>
          <w:sz w:val="32"/>
          <w:szCs w:val="32"/>
          <w:highlight w:val="none"/>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798A5621">
      <w:pPr>
        <w:pStyle w:val="3"/>
        <w:spacing w:line="600" w:lineRule="exact"/>
        <w:ind w:firstLine="640"/>
        <w:rPr>
          <w:color w:val="auto"/>
          <w:szCs w:val="32"/>
          <w:highlight w:val="none"/>
        </w:rPr>
      </w:pPr>
      <w:r>
        <w:rPr>
          <w:rFonts w:hint="eastAsia"/>
          <w:color w:val="auto"/>
          <w:szCs w:val="32"/>
          <w:highlight w:val="none"/>
        </w:rPr>
        <w:t>八、其他需要说明的问题</w:t>
      </w:r>
    </w:p>
    <w:p w14:paraId="473A3B0B">
      <w:pPr>
        <w:pStyle w:val="22"/>
        <w:spacing w:line="600" w:lineRule="exact"/>
        <w:ind w:firstLine="624"/>
        <w:rPr>
          <w:rFonts w:hint="eastAsia" w:ascii="仿宋_GB2312"/>
          <w:color w:val="auto"/>
          <w:sz w:val="32"/>
          <w:szCs w:val="32"/>
          <w:highlight w:val="none"/>
        </w:rPr>
      </w:pPr>
      <w:r>
        <w:rPr>
          <w:rFonts w:hint="eastAsia"/>
          <w:color w:val="auto"/>
          <w:spacing w:val="-4"/>
          <w:sz w:val="32"/>
          <w:szCs w:val="32"/>
          <w:highlight w:val="none"/>
        </w:rPr>
        <w:t>无其他说明内容</w:t>
      </w:r>
    </w:p>
    <w:p w14:paraId="65E24EBF">
      <w:pPr>
        <w:pStyle w:val="22"/>
        <w:spacing w:line="600" w:lineRule="exact"/>
        <w:ind w:firstLine="624"/>
        <w:rPr>
          <w:rFonts w:hint="eastAsia" w:ascii="仿宋_GB2312"/>
          <w:color w:val="auto"/>
          <w:sz w:val="32"/>
          <w:szCs w:val="32"/>
        </w:rPr>
      </w:pPr>
    </w:p>
    <w:bookmarkEnd w:id="18"/>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3000509000000000000"/>
    <w:charset w:val="86"/>
    <w:family w:val="script"/>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F835A">
    <w:pPr>
      <w:pStyle w:val="9"/>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0350D836">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0350D836">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8FA93">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27017">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993DE">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A21E9">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ED22C">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CACDBA82"/>
    <w:multiLevelType w:val="singleLevel"/>
    <w:tmpl w:val="CACDBA82"/>
    <w:lvl w:ilvl="0" w:tentative="0">
      <w:start w:val="1"/>
      <w:numFmt w:val="decimal"/>
      <w:suff w:val="nothing"/>
      <w:lvlText w:val="（%1）"/>
      <w:lvlJc w:val="left"/>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abstractNum w:abstractNumId="7">
    <w:nsid w:val="6912211E"/>
    <w:multiLevelType w:val="singleLevel"/>
    <w:tmpl w:val="6912211E"/>
    <w:lvl w:ilvl="0" w:tentative="0">
      <w:start w:val="2"/>
      <w:numFmt w:val="decimal"/>
      <w:lvlText w:val="%1."/>
      <w:lvlJc w:val="left"/>
      <w:pPr>
        <w:tabs>
          <w:tab w:val="left" w:pos="312"/>
        </w:tabs>
      </w:pPr>
    </w:lvl>
  </w:abstractNum>
  <w:num w:numId="1">
    <w:abstractNumId w:val="5"/>
  </w:num>
  <w:num w:numId="2">
    <w:abstractNumId w:val="0"/>
  </w:num>
  <w:num w:numId="3">
    <w:abstractNumId w:val="1"/>
  </w:num>
  <w:num w:numId="4">
    <w:abstractNumId w:val="4"/>
  </w:num>
  <w:num w:numId="5">
    <w:abstractNumId w:val="3"/>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iYzE1YzQ3YmE2ZTE0OWU4YzlhMGJmYzRjNzYzNTA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235CA"/>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791485"/>
    <w:rsid w:val="018067FB"/>
    <w:rsid w:val="04846602"/>
    <w:rsid w:val="099E26EF"/>
    <w:rsid w:val="0A3463D4"/>
    <w:rsid w:val="0BEF750E"/>
    <w:rsid w:val="0D212BE1"/>
    <w:rsid w:val="0D5D42E6"/>
    <w:rsid w:val="0DD71E98"/>
    <w:rsid w:val="10AA3291"/>
    <w:rsid w:val="126A504E"/>
    <w:rsid w:val="12F1313F"/>
    <w:rsid w:val="13685340"/>
    <w:rsid w:val="13946135"/>
    <w:rsid w:val="157D4C30"/>
    <w:rsid w:val="1615355E"/>
    <w:rsid w:val="18512847"/>
    <w:rsid w:val="19D379B8"/>
    <w:rsid w:val="1AB772D9"/>
    <w:rsid w:val="1B1D054C"/>
    <w:rsid w:val="1C731E2D"/>
    <w:rsid w:val="1DFF7BBC"/>
    <w:rsid w:val="211B1C44"/>
    <w:rsid w:val="216941D3"/>
    <w:rsid w:val="216955FA"/>
    <w:rsid w:val="21D22E69"/>
    <w:rsid w:val="245E1E24"/>
    <w:rsid w:val="24834B78"/>
    <w:rsid w:val="24F240A0"/>
    <w:rsid w:val="2644728F"/>
    <w:rsid w:val="26B47DE6"/>
    <w:rsid w:val="272C6D5A"/>
    <w:rsid w:val="27B801ED"/>
    <w:rsid w:val="2CD86C3B"/>
    <w:rsid w:val="2E2D244F"/>
    <w:rsid w:val="2E483E7E"/>
    <w:rsid w:val="2FAF0127"/>
    <w:rsid w:val="2FB27C17"/>
    <w:rsid w:val="2FF22A22"/>
    <w:rsid w:val="303954F3"/>
    <w:rsid w:val="31104BF6"/>
    <w:rsid w:val="31295CB7"/>
    <w:rsid w:val="33944516"/>
    <w:rsid w:val="34C06974"/>
    <w:rsid w:val="354E2190"/>
    <w:rsid w:val="36F47080"/>
    <w:rsid w:val="381256F7"/>
    <w:rsid w:val="38A04AB1"/>
    <w:rsid w:val="3C810CF7"/>
    <w:rsid w:val="3E2D1506"/>
    <w:rsid w:val="3F356034"/>
    <w:rsid w:val="3F3B19D7"/>
    <w:rsid w:val="3F855562"/>
    <w:rsid w:val="3FB955D5"/>
    <w:rsid w:val="41DB4DAC"/>
    <w:rsid w:val="442A1C1D"/>
    <w:rsid w:val="4517434D"/>
    <w:rsid w:val="46DC584E"/>
    <w:rsid w:val="46E4250C"/>
    <w:rsid w:val="476D10FA"/>
    <w:rsid w:val="49A75425"/>
    <w:rsid w:val="4AF720ED"/>
    <w:rsid w:val="4B776333"/>
    <w:rsid w:val="4C6E2B14"/>
    <w:rsid w:val="4CCE6542"/>
    <w:rsid w:val="4D4952BF"/>
    <w:rsid w:val="4DDA060D"/>
    <w:rsid w:val="501F0559"/>
    <w:rsid w:val="507D33F9"/>
    <w:rsid w:val="508F41AC"/>
    <w:rsid w:val="553D31FE"/>
    <w:rsid w:val="56B440F1"/>
    <w:rsid w:val="56B51C18"/>
    <w:rsid w:val="573970BA"/>
    <w:rsid w:val="5B9718EC"/>
    <w:rsid w:val="5CBC0B08"/>
    <w:rsid w:val="5D7317A1"/>
    <w:rsid w:val="5EDF9208"/>
    <w:rsid w:val="5FAFB075"/>
    <w:rsid w:val="60C449BD"/>
    <w:rsid w:val="614E7FB7"/>
    <w:rsid w:val="61F45CEA"/>
    <w:rsid w:val="63697576"/>
    <w:rsid w:val="65C761BC"/>
    <w:rsid w:val="668777C2"/>
    <w:rsid w:val="68291A1A"/>
    <w:rsid w:val="68E4356B"/>
    <w:rsid w:val="691B1594"/>
    <w:rsid w:val="6A674AF7"/>
    <w:rsid w:val="6D3524E8"/>
    <w:rsid w:val="6F0D6C22"/>
    <w:rsid w:val="6FD35114"/>
    <w:rsid w:val="6FE70C15"/>
    <w:rsid w:val="6FF38B9B"/>
    <w:rsid w:val="700417EE"/>
    <w:rsid w:val="71306613"/>
    <w:rsid w:val="71347EB1"/>
    <w:rsid w:val="716167CC"/>
    <w:rsid w:val="72211C19"/>
    <w:rsid w:val="73D9A77D"/>
    <w:rsid w:val="73F90A54"/>
    <w:rsid w:val="7657F55C"/>
    <w:rsid w:val="76D2301A"/>
    <w:rsid w:val="77861774"/>
    <w:rsid w:val="77978BBA"/>
    <w:rsid w:val="77980A6E"/>
    <w:rsid w:val="77FD56A3"/>
    <w:rsid w:val="786D3A99"/>
    <w:rsid w:val="78F63C9E"/>
    <w:rsid w:val="79300B45"/>
    <w:rsid w:val="7AFFA044"/>
    <w:rsid w:val="7C266648"/>
    <w:rsid w:val="7C55A6FE"/>
    <w:rsid w:val="7C7F22A6"/>
    <w:rsid w:val="7C8141C6"/>
    <w:rsid w:val="7EF7BC1E"/>
    <w:rsid w:val="7F01514B"/>
    <w:rsid w:val="7F237F7D"/>
    <w:rsid w:val="7F343772"/>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99"/>
    <w:rPr>
      <w:rFonts w:ascii="宋体" w:hAnsi="Courier New" w:cs="Courier New"/>
    </w:rPr>
  </w:style>
  <w:style w:type="paragraph" w:styleId="6">
    <w:name w:val="annotation text"/>
    <w:basedOn w:val="1"/>
    <w:qFormat/>
    <w:uiPriority w:val="0"/>
    <w:pPr>
      <w:jc w:val="left"/>
    </w:pPr>
  </w:style>
  <w:style w:type="paragraph" w:styleId="7">
    <w:name w:val="Body Text"/>
    <w:basedOn w:val="1"/>
    <w:unhideWhenUsed/>
    <w:qFormat/>
    <w:uiPriority w:val="0"/>
    <w:pPr>
      <w:spacing w:before="240" w:after="240" w:line="360" w:lineRule="auto"/>
      <w:jc w:val="center"/>
    </w:pPr>
    <w:rPr>
      <w:b/>
      <w:sz w:val="44"/>
    </w:rPr>
  </w:style>
  <w:style w:type="paragraph" w:styleId="8">
    <w:name w:val="Balloon Text"/>
    <w:basedOn w:val="1"/>
    <w:link w:val="18"/>
    <w:qFormat/>
    <w:uiPriority w:val="0"/>
    <w:pPr>
      <w:spacing w:line="240" w:lineRule="auto"/>
    </w:pPr>
    <w:rPr>
      <w:sz w:val="18"/>
      <w:szCs w:val="18"/>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8"/>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9"/>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5"/>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7498</Words>
  <Characters>8084</Characters>
  <Lines>62</Lines>
  <Paragraphs>17</Paragraphs>
  <TotalTime>16</TotalTime>
  <ScaleCrop>false</ScaleCrop>
  <LinksUpToDate>false</LinksUpToDate>
  <CharactersWithSpaces>8099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雯雯酱</cp:lastModifiedBy>
  <cp:lastPrinted>2024-04-17T04:15:00Z</cp:lastPrinted>
  <dcterms:modified xsi:type="dcterms:W3CDTF">2025-03-28T07:31:15Z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1FCDEA7E349A429191B9C633C8F4B410_13</vt:lpwstr>
  </property>
  <property fmtid="{D5CDD505-2E9C-101B-9397-08002B2CF9AE}" pid="4" name="KSOTemplateDocerSaveRecord">
    <vt:lpwstr>eyJoZGlkIjoiZDU4MmQ2ZWMyMDZlYzhmM2M0MmMwNGNmYmFiY2Q3YTQiLCJ1c2VySWQiOiI1Mzk1NTEzNjcifQ==</vt:lpwstr>
  </property>
</Properties>
</file>